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4CC3" w:rsidRDefault="00E94CC3" w:rsidP="00D20A66">
      <w:pPr>
        <w:jc w:val="right"/>
        <w:rPr>
          <w:rFonts w:ascii="Times New Roman" w:hAnsi="Times New Roman" w:cs="Times New Roman"/>
          <w:b/>
          <w:sz w:val="28"/>
          <w:szCs w:val="28"/>
          <w:lang w:val="en-US" w:eastAsia="en-US"/>
        </w:rPr>
      </w:pPr>
      <w:r w:rsidRPr="00D20A66">
        <w:rPr>
          <w:rFonts w:ascii="Times New Roman" w:hAnsi="Times New Roman" w:cs="Times New Roman"/>
          <w:b/>
          <w:sz w:val="28"/>
          <w:szCs w:val="28"/>
          <w:lang w:val="en-US" w:eastAsia="en-US"/>
        </w:rPr>
        <w:t>Kenzhebek</w:t>
      </w:r>
      <w:r>
        <w:rPr>
          <w:rFonts w:ascii="Times New Roman" w:hAnsi="Times New Roman" w:cs="Times New Roman"/>
          <w:b/>
          <w:sz w:val="28"/>
          <w:szCs w:val="28"/>
          <w:lang w:val="uk-UA" w:eastAsia="en-US"/>
        </w:rPr>
        <w:t xml:space="preserve"> </w:t>
      </w:r>
      <w:r w:rsidRPr="00D20A66">
        <w:rPr>
          <w:rFonts w:ascii="Times New Roman" w:hAnsi="Times New Roman" w:cs="Times New Roman"/>
          <w:b/>
          <w:sz w:val="28"/>
          <w:szCs w:val="28"/>
          <w:lang w:val="en-US" w:eastAsia="en-US"/>
        </w:rPr>
        <w:t xml:space="preserve">Akmalaiuly, </w:t>
      </w:r>
      <w:r w:rsidRPr="00D20A66">
        <w:rPr>
          <w:rFonts w:ascii="Times New Roman" w:hAnsi="Times New Roman" w:cs="Times New Roman"/>
          <w:b/>
          <w:sz w:val="28"/>
          <w:szCs w:val="28"/>
          <w:lang w:eastAsia="en-US"/>
        </w:rPr>
        <w:t>А</w:t>
      </w:r>
      <w:r w:rsidRPr="00D20A66">
        <w:rPr>
          <w:rFonts w:ascii="Times New Roman" w:hAnsi="Times New Roman" w:cs="Times New Roman"/>
          <w:b/>
          <w:sz w:val="28"/>
          <w:szCs w:val="28"/>
          <w:lang w:val="en-US" w:eastAsia="en-US"/>
        </w:rPr>
        <w:t>ssylbek</w:t>
      </w:r>
      <w:r>
        <w:rPr>
          <w:rFonts w:ascii="Times New Roman" w:hAnsi="Times New Roman" w:cs="Times New Roman"/>
          <w:b/>
          <w:sz w:val="28"/>
          <w:szCs w:val="28"/>
          <w:lang w:val="uk-UA" w:eastAsia="en-US"/>
        </w:rPr>
        <w:t xml:space="preserve"> </w:t>
      </w:r>
      <w:r w:rsidRPr="00D20A66">
        <w:rPr>
          <w:rFonts w:ascii="Times New Roman" w:hAnsi="Times New Roman" w:cs="Times New Roman"/>
          <w:b/>
          <w:sz w:val="28"/>
          <w:szCs w:val="28"/>
          <w:lang w:val="en-US" w:eastAsia="en-US"/>
        </w:rPr>
        <w:t>Kabiyev</w:t>
      </w:r>
    </w:p>
    <w:p w:rsidR="00E94CC3" w:rsidRPr="00D20A66" w:rsidRDefault="00E94CC3" w:rsidP="00D20A66">
      <w:pPr>
        <w:jc w:val="right"/>
        <w:rPr>
          <w:rFonts w:ascii="Times New Roman" w:hAnsi="Times New Roman" w:cs="Times New Roman"/>
          <w:b/>
          <w:sz w:val="28"/>
          <w:szCs w:val="28"/>
          <w:vertAlign w:val="superscript"/>
          <w:lang w:val="en-US" w:eastAsia="en-US"/>
        </w:rPr>
      </w:pPr>
      <w:r>
        <w:rPr>
          <w:rFonts w:ascii="Times New Roman" w:hAnsi="Times New Roman" w:cs="Times New Roman"/>
          <w:b/>
          <w:sz w:val="28"/>
          <w:szCs w:val="28"/>
          <w:lang w:val="en-US" w:eastAsia="en-US"/>
        </w:rPr>
        <w:t>(</w:t>
      </w:r>
      <w:smartTag w:uri="urn:schemas-microsoft-com:office:smarttags" w:element="place">
        <w:smartTag w:uri="urn:schemas-microsoft-com:office:smarttags" w:element="City">
          <w:r>
            <w:rPr>
              <w:rFonts w:ascii="Times New Roman" w:hAnsi="Times New Roman" w:cs="Times New Roman"/>
              <w:b/>
              <w:sz w:val="28"/>
              <w:szCs w:val="28"/>
              <w:lang w:val="en-US" w:eastAsia="en-US"/>
            </w:rPr>
            <w:t>Almaty</w:t>
          </w:r>
        </w:smartTag>
        <w:r>
          <w:rPr>
            <w:rFonts w:ascii="Times New Roman" w:hAnsi="Times New Roman" w:cs="Times New Roman"/>
            <w:b/>
            <w:sz w:val="28"/>
            <w:szCs w:val="28"/>
            <w:lang w:val="en-US" w:eastAsia="en-US"/>
          </w:rPr>
          <w:t xml:space="preserve">, </w:t>
        </w:r>
        <w:smartTag w:uri="urn:schemas-microsoft-com:office:smarttags" w:element="country-region">
          <w:r>
            <w:rPr>
              <w:rFonts w:ascii="Times New Roman" w:hAnsi="Times New Roman" w:cs="Times New Roman"/>
              <w:b/>
              <w:sz w:val="28"/>
              <w:szCs w:val="28"/>
              <w:lang w:val="en-US" w:eastAsia="en-US"/>
            </w:rPr>
            <w:t>Kazakhstan</w:t>
          </w:r>
        </w:smartTag>
      </w:smartTag>
      <w:r>
        <w:rPr>
          <w:rFonts w:ascii="Times New Roman" w:hAnsi="Times New Roman" w:cs="Times New Roman"/>
          <w:b/>
          <w:sz w:val="28"/>
          <w:szCs w:val="28"/>
          <w:lang w:val="en-US" w:eastAsia="en-US"/>
        </w:rPr>
        <w:t>)</w:t>
      </w:r>
    </w:p>
    <w:p w:rsidR="00E94CC3" w:rsidRPr="00A25C52" w:rsidRDefault="00E94CC3" w:rsidP="00D20A66">
      <w:pPr>
        <w:spacing w:line="360" w:lineRule="auto"/>
        <w:rPr>
          <w:rFonts w:ascii="Times New Roman" w:hAnsi="Times New Roman" w:cs="Times New Roman"/>
          <w:sz w:val="28"/>
          <w:szCs w:val="28"/>
          <w:lang w:val="en-US"/>
        </w:rPr>
      </w:pPr>
    </w:p>
    <w:p w:rsidR="00E94CC3" w:rsidRPr="004D359D" w:rsidRDefault="00E94CC3" w:rsidP="00D90CF2">
      <w:pPr>
        <w:spacing w:line="360" w:lineRule="auto"/>
        <w:jc w:val="center"/>
        <w:rPr>
          <w:rFonts w:ascii="Times New Roman" w:hAnsi="Times New Roman" w:cs="Times New Roman"/>
          <w:b/>
          <w:sz w:val="28"/>
          <w:szCs w:val="28"/>
          <w:lang w:val="kk-KZ"/>
        </w:rPr>
      </w:pPr>
      <w:r w:rsidRPr="00D90CF2">
        <w:rPr>
          <w:rFonts w:ascii="Times New Roman" w:hAnsi="Times New Roman" w:cs="Times New Roman"/>
          <w:b/>
          <w:sz w:val="28"/>
          <w:szCs w:val="28"/>
          <w:lang w:val="kk-KZ"/>
        </w:rPr>
        <w:t>EVALUATION OF WOOD–CEMENT COMPATIBILITY</w:t>
      </w:r>
    </w:p>
    <w:p w:rsidR="00E94CC3" w:rsidRPr="00D20A66" w:rsidRDefault="00E94CC3" w:rsidP="00D90CF2">
      <w:pPr>
        <w:spacing w:line="360" w:lineRule="auto"/>
        <w:jc w:val="both"/>
        <w:rPr>
          <w:rFonts w:ascii="Times New Roman" w:hAnsi="Times New Roman" w:cs="Times New Roman"/>
          <w:sz w:val="28"/>
          <w:szCs w:val="28"/>
          <w:lang w:val="en-US"/>
        </w:rPr>
      </w:pPr>
    </w:p>
    <w:p w:rsidR="00E94CC3" w:rsidRPr="00EF4897" w:rsidRDefault="00E94CC3" w:rsidP="00D90CF2">
      <w:pPr>
        <w:spacing w:line="360" w:lineRule="auto"/>
        <w:ind w:firstLine="709"/>
        <w:jc w:val="both"/>
        <w:rPr>
          <w:rFonts w:ascii="Times New Roman" w:hAnsi="Times New Roman" w:cs="Times New Roman"/>
          <w:b/>
          <w:sz w:val="28"/>
          <w:szCs w:val="28"/>
          <w:lang w:val="en-US"/>
        </w:rPr>
      </w:pPr>
      <w:r w:rsidRPr="00EF4897">
        <w:rPr>
          <w:rFonts w:ascii="Times New Roman" w:hAnsi="Times New Roman" w:cs="Times New Roman"/>
          <w:b/>
          <w:sz w:val="28"/>
          <w:szCs w:val="28"/>
          <w:lang w:val="en-US"/>
        </w:rPr>
        <w:t>Investigation of the condition of a wood-based composite.</w:t>
      </w:r>
    </w:p>
    <w:p w:rsidR="00E94CC3" w:rsidRPr="00EF4897" w:rsidRDefault="00E94CC3" w:rsidP="00D90CF2">
      <w:pPr>
        <w:spacing w:line="360" w:lineRule="auto"/>
        <w:ind w:firstLine="709"/>
        <w:jc w:val="both"/>
        <w:rPr>
          <w:rFonts w:ascii="Times New Roman" w:hAnsi="Times New Roman" w:cs="Times New Roman"/>
          <w:sz w:val="28"/>
          <w:szCs w:val="28"/>
          <w:lang w:val="en-US"/>
        </w:rPr>
      </w:pPr>
      <w:r w:rsidRPr="00EF4897">
        <w:rPr>
          <w:rFonts w:ascii="Times New Roman" w:hAnsi="Times New Roman" w:cs="Times New Roman"/>
          <w:sz w:val="28"/>
          <w:szCs w:val="28"/>
          <w:lang w:val="en-US"/>
        </w:rPr>
        <w:t>Wood–cement composites are widely used in many countries for both interior and exterior applications due to their mechanical properties suitable for building materials (e.g., roofing, cladding, fencing, and flooring) and their acoustic properties, such as highway sound barriers. The main challenge in producing wood–cement composites is the incompatibility between cement and wood, since certain soluble chemicals in wood inhibit or stop cement hydration when exposed to an alkaline environment and diffuse into the cement paste, resulting in lower mechanical strength of wood–cement composites compared to pure cement [1].</w:t>
      </w:r>
    </w:p>
    <w:p w:rsidR="00E94CC3" w:rsidRPr="00D20A66" w:rsidRDefault="00E94CC3" w:rsidP="00D90CF2">
      <w:pPr>
        <w:spacing w:line="360" w:lineRule="auto"/>
        <w:ind w:firstLine="709"/>
        <w:jc w:val="both"/>
        <w:rPr>
          <w:rFonts w:ascii="Times New Roman" w:hAnsi="Times New Roman" w:cs="Times New Roman"/>
          <w:sz w:val="28"/>
          <w:szCs w:val="28"/>
          <w:lang w:val="en-US"/>
        </w:rPr>
      </w:pPr>
      <w:r w:rsidRPr="00EF4897">
        <w:rPr>
          <w:rFonts w:ascii="Times New Roman" w:hAnsi="Times New Roman" w:cs="Times New Roman"/>
          <w:sz w:val="28"/>
          <w:szCs w:val="28"/>
          <w:lang w:val="en-US"/>
        </w:rPr>
        <w:t>The production of wood–cement composites is hindered by the chemical incompatibility between wood and cement, which interferes with the setting and hardening of cement. The main inhibitory substances include certain sugars, portions of hemicelluloses, and their degradation products. The degree of inhibition is influenced by many factors, including wood species, location, part of the tree, season of harvesting, wood-to-cement ratio, type of cement, storage conditions, and others [2].</w:t>
      </w:r>
    </w:p>
    <w:p w:rsidR="00E94CC3" w:rsidRPr="00EF4897" w:rsidRDefault="00E94CC3" w:rsidP="00D90CF2">
      <w:pPr>
        <w:spacing w:line="360" w:lineRule="auto"/>
        <w:ind w:firstLine="709"/>
        <w:jc w:val="both"/>
        <w:rPr>
          <w:rFonts w:ascii="Times New Roman" w:hAnsi="Times New Roman" w:cs="Times New Roman"/>
          <w:sz w:val="28"/>
          <w:szCs w:val="28"/>
          <w:lang w:val="en-US"/>
        </w:rPr>
      </w:pPr>
      <w:r w:rsidRPr="00EF4897">
        <w:rPr>
          <w:rFonts w:ascii="Times New Roman" w:hAnsi="Times New Roman" w:cs="Times New Roman"/>
          <w:sz w:val="28"/>
          <w:szCs w:val="28"/>
          <w:lang w:val="en-US"/>
        </w:rPr>
        <w:t>The incompatibility between wood and cement can limit the practical use of certain wood species in wood–cement composites. It has been established that the degree of compatibility between wood and cement varies among different wood species. Therefore, the level of compatibility must be evaluated to determine whether a given wood is suitable for producing wood–cement composites. Currently, several evaluation methods have been developed to classify various wood species according to their compatibility with cement, based on heat of hydration or temperature, strength, electrical conductivity, and morphology [3].</w:t>
      </w:r>
    </w:p>
    <w:p w:rsidR="00E94CC3" w:rsidRPr="00EF4897" w:rsidRDefault="00E94CC3" w:rsidP="00D90CF2">
      <w:pPr>
        <w:spacing w:line="360" w:lineRule="auto"/>
        <w:ind w:firstLine="709"/>
        <w:jc w:val="both"/>
        <w:rPr>
          <w:rFonts w:ascii="Times New Roman" w:hAnsi="Times New Roman" w:cs="Times New Roman"/>
          <w:sz w:val="28"/>
          <w:szCs w:val="28"/>
          <w:lang w:val="en-US"/>
        </w:rPr>
      </w:pPr>
      <w:r w:rsidRPr="00EF4897">
        <w:rPr>
          <w:rFonts w:ascii="Times New Roman" w:hAnsi="Times New Roman" w:cs="Times New Roman"/>
          <w:sz w:val="28"/>
          <w:szCs w:val="28"/>
          <w:lang w:val="en-US"/>
        </w:rPr>
        <w:t>To enhance the suitability of certain wood species for manufacturing wood–cement composite boards, inorganic chemicals known as accelerators are commonly added to speed up cement curing, or pre-treatments such as water extraction are used to remove inhibitory substances from the wood.</w:t>
      </w:r>
    </w:p>
    <w:p w:rsidR="00E94CC3" w:rsidRPr="00EF4897" w:rsidRDefault="00E94CC3" w:rsidP="00D90CF2">
      <w:pPr>
        <w:spacing w:line="360" w:lineRule="auto"/>
        <w:ind w:firstLine="709"/>
        <w:jc w:val="both"/>
        <w:rPr>
          <w:rFonts w:ascii="Times New Roman" w:hAnsi="Times New Roman" w:cs="Times New Roman"/>
          <w:b/>
          <w:sz w:val="28"/>
          <w:szCs w:val="28"/>
          <w:lang w:val="en-US"/>
        </w:rPr>
      </w:pPr>
      <w:r w:rsidRPr="00EF4897">
        <w:rPr>
          <w:rFonts w:ascii="Times New Roman" w:hAnsi="Times New Roman" w:cs="Times New Roman"/>
          <w:b/>
          <w:sz w:val="28"/>
          <w:szCs w:val="28"/>
          <w:lang w:val="en-US"/>
        </w:rPr>
        <w:t>The reason for the incompati</w:t>
      </w:r>
      <w:r>
        <w:rPr>
          <w:rFonts w:ascii="Times New Roman" w:hAnsi="Times New Roman" w:cs="Times New Roman"/>
          <w:b/>
          <w:sz w:val="28"/>
          <w:szCs w:val="28"/>
          <w:lang w:val="en-US"/>
        </w:rPr>
        <w:t>bility between wood and cement.</w:t>
      </w:r>
      <w:r w:rsidRPr="00EF4897">
        <w:rPr>
          <w:rFonts w:ascii="Times New Roman" w:hAnsi="Times New Roman" w:cs="Times New Roman"/>
          <w:sz w:val="28"/>
          <w:szCs w:val="28"/>
          <w:lang w:val="en-US"/>
        </w:rPr>
        <w:t>The mechanism of the inhibitory effect of wood on the hydration of ordinary Portland cement (OPC) has not yet been fully clarified, but two possible mechanisms have been proposed. First, extractives composed of various organic compounds form complexes with metal ions present in the cement slurry. This reduces the concentration of Ca²</w:t>
      </w:r>
      <w:r w:rsidRPr="00EF4897">
        <w:rPr>
          <w:rFonts w:ascii="MS Mincho" w:eastAsia="MS Mincho" w:hAnsi="MS Mincho" w:cs="MS Mincho" w:hint="eastAsia"/>
          <w:sz w:val="28"/>
          <w:szCs w:val="28"/>
          <w:lang w:val="en-US"/>
        </w:rPr>
        <w:t>⁺</w:t>
      </w:r>
      <w:r w:rsidRPr="00EF4897">
        <w:rPr>
          <w:rFonts w:ascii="Times New Roman" w:hAnsi="Times New Roman" w:cs="Times New Roman"/>
          <w:sz w:val="28"/>
          <w:szCs w:val="28"/>
          <w:lang w:val="en-US"/>
        </w:rPr>
        <w:t xml:space="preserve"> ions in the cement and may disrupt the solution equilibrium, thereby delaying the onset of Ca(OH)</w:t>
      </w:r>
      <w:r w:rsidRPr="00EF4897">
        <w:rPr>
          <w:rFonts w:ascii="MS Mincho" w:eastAsia="MS Mincho" w:hAnsi="MS Mincho" w:cs="MS Mincho" w:hint="eastAsia"/>
          <w:sz w:val="28"/>
          <w:szCs w:val="28"/>
          <w:lang w:val="en-US"/>
        </w:rPr>
        <w:t>₂</w:t>
      </w:r>
      <w:r w:rsidRPr="00EF4897">
        <w:rPr>
          <w:rFonts w:ascii="Times New Roman" w:hAnsi="Times New Roman" w:cs="Times New Roman"/>
          <w:sz w:val="28"/>
          <w:szCs w:val="28"/>
          <w:lang w:val="en-US"/>
        </w:rPr>
        <w:t xml:space="preserve"> and</w:t>
      </w:r>
      <w:r>
        <w:rPr>
          <w:rFonts w:ascii="Times New Roman" w:hAnsi="Times New Roman" w:cs="Times New Roman"/>
          <w:sz w:val="28"/>
          <w:szCs w:val="28"/>
          <w:lang w:val="en-US"/>
        </w:rPr>
        <w:t xml:space="preserve"> CS</w:t>
      </w:r>
      <w:r w:rsidRPr="00EF4897">
        <w:rPr>
          <w:rFonts w:ascii="Times New Roman" w:hAnsi="Times New Roman" w:cs="Times New Roman"/>
          <w:sz w:val="28"/>
          <w:szCs w:val="28"/>
          <w:lang w:val="en-US"/>
        </w:rPr>
        <w:t>H gel formation. The second proposed mechanism is that organic compounds form a thin adsorbed layer on the surface of cement grains, slowing down the hydration process.</w:t>
      </w:r>
    </w:p>
    <w:p w:rsidR="00E94CC3" w:rsidRPr="00D20A66" w:rsidRDefault="00E94CC3" w:rsidP="00D90CF2">
      <w:pPr>
        <w:spacing w:line="360" w:lineRule="auto"/>
        <w:ind w:firstLine="709"/>
        <w:jc w:val="both"/>
        <w:rPr>
          <w:rFonts w:ascii="Times New Roman" w:hAnsi="Times New Roman" w:cs="Times New Roman"/>
          <w:sz w:val="28"/>
          <w:szCs w:val="28"/>
          <w:lang w:val="en-US"/>
        </w:rPr>
      </w:pPr>
      <w:r w:rsidRPr="00EF4897">
        <w:rPr>
          <w:rFonts w:ascii="Times New Roman" w:hAnsi="Times New Roman" w:cs="Times New Roman"/>
          <w:sz w:val="28"/>
          <w:szCs w:val="28"/>
          <w:lang w:val="en-US"/>
        </w:rPr>
        <w:t xml:space="preserve">Various components of wood extractives cause different degrees of inhibitory or retarding effects on cement hydration. Sugars and starches present in wood have previously been identified as the most important compounds causing wood–cement incompatibility, especially in softwood species. However, not all types of sugars exhibit the same inhibitory effect. Glucose and sucrose are the primary components that inhibit cement curing. Sucrose has a stronger retarding effect than glucose at the same concentration because the ring structure of sucrose creates greater steric hindrance compared to </w:t>
      </w:r>
      <w:r>
        <w:rPr>
          <w:rFonts w:ascii="Times New Roman" w:hAnsi="Times New Roman" w:cs="Times New Roman"/>
          <w:sz w:val="28"/>
          <w:szCs w:val="28"/>
          <w:lang w:val="en-US"/>
        </w:rPr>
        <w:t>the chain structure of glucose.</w:t>
      </w:r>
      <w:r w:rsidRPr="00EF4897">
        <w:rPr>
          <w:rFonts w:ascii="Times New Roman" w:hAnsi="Times New Roman" w:cs="Times New Roman"/>
          <w:sz w:val="28"/>
          <w:szCs w:val="28"/>
          <w:lang w:val="en-US"/>
        </w:rPr>
        <w:t xml:space="preserve"> Several factors influence wood–cement compatibility, including wood species, cement type, part of the tree, season of harvesting, wood–to–cement ratio, storage conditions, and others. In general, a lower amount of inhibitory extractives diffusing into the cement paste leads to improved wood–cement compatibility [4].</w:t>
      </w:r>
    </w:p>
    <w:p w:rsidR="00E94CC3" w:rsidRPr="00EF4897" w:rsidRDefault="00E94CC3" w:rsidP="00D90CF2">
      <w:pPr>
        <w:spacing w:line="360" w:lineRule="auto"/>
        <w:ind w:firstLine="709"/>
        <w:jc w:val="both"/>
        <w:rPr>
          <w:rFonts w:ascii="Times New Roman" w:hAnsi="Times New Roman" w:cs="Times New Roman"/>
          <w:sz w:val="28"/>
          <w:szCs w:val="28"/>
          <w:lang w:val="en-US"/>
        </w:rPr>
      </w:pPr>
      <w:r w:rsidRPr="00EF4897">
        <w:rPr>
          <w:rFonts w:ascii="Times New Roman" w:hAnsi="Times New Roman" w:cs="Times New Roman"/>
          <w:sz w:val="28"/>
          <w:szCs w:val="28"/>
          <w:lang w:val="en-US"/>
        </w:rPr>
        <w:t>Different wood species contain different types and amounts of wood extractives, and therefore they affect cement hydration in various ways, with some species even completely preventing cement setting. Data on the quantitative content of water-soluble substances in different wood species, presented in various wood-chemistry studies, vary widely (Table 1).</w:t>
      </w:r>
    </w:p>
    <w:p w:rsidR="00E94CC3" w:rsidRPr="00EF4897" w:rsidRDefault="00E94CC3" w:rsidP="00D90CF2">
      <w:pPr>
        <w:spacing w:line="360" w:lineRule="auto"/>
        <w:ind w:firstLine="709"/>
        <w:jc w:val="both"/>
        <w:rPr>
          <w:rFonts w:ascii="Times New Roman" w:hAnsi="Times New Roman" w:cs="Times New Roman"/>
          <w:sz w:val="28"/>
          <w:szCs w:val="28"/>
          <w:lang w:val="en-US"/>
        </w:rPr>
      </w:pPr>
      <w:r w:rsidRPr="00EF4897">
        <w:rPr>
          <w:rFonts w:ascii="Times New Roman" w:hAnsi="Times New Roman" w:cs="Times New Roman"/>
          <w:sz w:val="28"/>
          <w:szCs w:val="28"/>
          <w:lang w:val="en-US"/>
        </w:rPr>
        <w:t>The data in Table 1 show that spruce has the lowest amount of water-soluble substances, while larch contains the highest amount.</w:t>
      </w:r>
    </w:p>
    <w:p w:rsidR="00E94CC3" w:rsidRPr="00D20A66" w:rsidRDefault="00E94CC3" w:rsidP="00D90CF2">
      <w:pPr>
        <w:spacing w:line="360" w:lineRule="auto"/>
        <w:jc w:val="both"/>
        <w:rPr>
          <w:rFonts w:ascii="Times New Roman" w:hAnsi="Times New Roman" w:cs="Times New Roman"/>
          <w:color w:val="000000"/>
          <w:sz w:val="28"/>
          <w:szCs w:val="28"/>
          <w:shd w:val="clear" w:color="auto" w:fill="FFFFFF"/>
          <w:lang w:val="en-US"/>
        </w:rPr>
      </w:pPr>
    </w:p>
    <w:p w:rsidR="00E94CC3" w:rsidRPr="00D20A66" w:rsidRDefault="00E94CC3" w:rsidP="00D90CF2">
      <w:pPr>
        <w:spacing w:line="360" w:lineRule="auto"/>
        <w:jc w:val="both"/>
        <w:rPr>
          <w:rFonts w:ascii="Times New Roman" w:hAnsi="Times New Roman" w:cs="Times New Roman"/>
          <w:color w:val="000000"/>
          <w:sz w:val="28"/>
          <w:szCs w:val="28"/>
          <w:shd w:val="clear" w:color="auto" w:fill="FFFFFF"/>
          <w:lang w:val="en-US"/>
        </w:rPr>
      </w:pPr>
      <w:r w:rsidRPr="00EF4897">
        <w:rPr>
          <w:rFonts w:ascii="Times New Roman" w:hAnsi="Times New Roman" w:cs="Times New Roman"/>
          <w:b/>
          <w:color w:val="000000"/>
          <w:sz w:val="28"/>
          <w:szCs w:val="28"/>
          <w:shd w:val="clear" w:color="auto" w:fill="FFFFFF"/>
          <w:lang w:val="en-US"/>
        </w:rPr>
        <w:t>Table 1.</w:t>
      </w:r>
      <w:r w:rsidRPr="00EF4897">
        <w:rPr>
          <w:rFonts w:ascii="Times New Roman" w:hAnsi="Times New Roman" w:cs="Times New Roman"/>
          <w:color w:val="000000"/>
          <w:sz w:val="28"/>
          <w:szCs w:val="28"/>
          <w:shd w:val="clear" w:color="auto" w:fill="FFFFFF"/>
          <w:lang w:val="en-US"/>
        </w:rPr>
        <w:t xml:space="preserve"> Content of water-soluble substances in different wood species  </w:t>
      </w:r>
    </w:p>
    <w:p w:rsidR="00E94CC3" w:rsidRPr="00D20A66" w:rsidRDefault="00E94CC3" w:rsidP="00D90CF2">
      <w:pPr>
        <w:spacing w:line="360" w:lineRule="auto"/>
        <w:jc w:val="both"/>
        <w:rPr>
          <w:rFonts w:ascii="Times New Roman" w:hAnsi="Times New Roman" w:cs="Times New Roman"/>
          <w:color w:val="000000"/>
          <w:sz w:val="28"/>
          <w:szCs w:val="28"/>
          <w:shd w:val="clear" w:color="auto" w:fill="FFFFFF"/>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43"/>
        <w:gridCol w:w="2400"/>
        <w:gridCol w:w="2179"/>
        <w:gridCol w:w="2165"/>
        <w:gridCol w:w="1460"/>
      </w:tblGrid>
      <w:tr w:rsidR="00E94CC3" w:rsidRPr="00B70B4E" w:rsidTr="00704DF2">
        <w:tc>
          <w:tcPr>
            <w:tcW w:w="1862" w:type="dxa"/>
            <w:vMerge w:val="restart"/>
          </w:tcPr>
          <w:p w:rsidR="00E94CC3" w:rsidRPr="00704DF2" w:rsidRDefault="00E94CC3" w:rsidP="00704DF2">
            <w:pPr>
              <w:spacing w:line="360" w:lineRule="auto"/>
              <w:jc w:val="center"/>
              <w:rPr>
                <w:rFonts w:ascii="Times New Roman" w:hAnsi="Times New Roman" w:cs="Times New Roman"/>
                <w:sz w:val="28"/>
                <w:szCs w:val="28"/>
              </w:rPr>
            </w:pPr>
            <w:r w:rsidRPr="00704DF2">
              <w:rPr>
                <w:rFonts w:ascii="Times New Roman" w:hAnsi="Times New Roman" w:cs="Times New Roman"/>
                <w:sz w:val="28"/>
                <w:szCs w:val="28"/>
              </w:rPr>
              <w:t>Woodspecies</w:t>
            </w:r>
          </w:p>
        </w:tc>
        <w:tc>
          <w:tcPr>
            <w:tcW w:w="7884" w:type="dxa"/>
            <w:gridSpan w:val="4"/>
          </w:tcPr>
          <w:p w:rsidR="00E94CC3" w:rsidRPr="00704DF2" w:rsidRDefault="00E94CC3" w:rsidP="00704DF2">
            <w:pPr>
              <w:spacing w:line="360" w:lineRule="auto"/>
              <w:jc w:val="center"/>
              <w:rPr>
                <w:rFonts w:ascii="Times New Roman" w:hAnsi="Times New Roman" w:cs="Times New Roman"/>
                <w:sz w:val="28"/>
                <w:szCs w:val="28"/>
                <w:lang w:val="en-US"/>
              </w:rPr>
            </w:pPr>
            <w:r w:rsidRPr="00704DF2">
              <w:rPr>
                <w:rFonts w:ascii="Times New Roman" w:hAnsi="Times New Roman" w:cs="Times New Roman"/>
                <w:sz w:val="28"/>
                <w:szCs w:val="28"/>
                <w:lang w:val="en-US"/>
              </w:rPr>
              <w:t>Content of water-soluble substances, % of wood weight</w:t>
            </w:r>
          </w:p>
        </w:tc>
      </w:tr>
      <w:tr w:rsidR="00E94CC3" w:rsidTr="00704DF2">
        <w:tc>
          <w:tcPr>
            <w:tcW w:w="1862" w:type="dxa"/>
            <w:vMerge/>
          </w:tcPr>
          <w:p w:rsidR="00E94CC3" w:rsidRPr="00704DF2" w:rsidRDefault="00E94CC3" w:rsidP="00704DF2">
            <w:pPr>
              <w:spacing w:line="360" w:lineRule="auto"/>
              <w:jc w:val="center"/>
              <w:rPr>
                <w:rFonts w:ascii="Times New Roman" w:hAnsi="Times New Roman" w:cs="Times New Roman"/>
                <w:sz w:val="28"/>
                <w:szCs w:val="28"/>
                <w:lang w:val="en-US"/>
              </w:rPr>
            </w:pPr>
          </w:p>
        </w:tc>
        <w:tc>
          <w:tcPr>
            <w:tcW w:w="1971" w:type="dxa"/>
          </w:tcPr>
          <w:p w:rsidR="00E94CC3" w:rsidRPr="00704DF2" w:rsidRDefault="00E94CC3" w:rsidP="00704DF2">
            <w:pPr>
              <w:spacing w:line="360" w:lineRule="auto"/>
              <w:jc w:val="center"/>
              <w:rPr>
                <w:rFonts w:ascii="Times New Roman" w:hAnsi="Times New Roman" w:cs="Times New Roman"/>
                <w:sz w:val="28"/>
                <w:szCs w:val="28"/>
              </w:rPr>
            </w:pPr>
            <w:r w:rsidRPr="00704DF2">
              <w:rPr>
                <w:rFonts w:ascii="Times New Roman" w:hAnsi="Times New Roman" w:cs="Times New Roman"/>
                <w:sz w:val="28"/>
                <w:szCs w:val="28"/>
              </w:rPr>
              <w:t>AccordingtoKomarov</w:t>
            </w:r>
          </w:p>
        </w:tc>
        <w:tc>
          <w:tcPr>
            <w:tcW w:w="1971" w:type="dxa"/>
          </w:tcPr>
          <w:p w:rsidR="00E94CC3" w:rsidRPr="00704DF2" w:rsidRDefault="00E94CC3" w:rsidP="00704DF2">
            <w:pPr>
              <w:spacing w:line="360" w:lineRule="auto"/>
              <w:jc w:val="center"/>
              <w:rPr>
                <w:rFonts w:ascii="Times New Roman" w:hAnsi="Times New Roman" w:cs="Times New Roman"/>
                <w:sz w:val="28"/>
                <w:szCs w:val="28"/>
              </w:rPr>
            </w:pPr>
            <w:r w:rsidRPr="00704DF2">
              <w:rPr>
                <w:rFonts w:ascii="Times New Roman" w:hAnsi="Times New Roman" w:cs="Times New Roman"/>
                <w:sz w:val="28"/>
                <w:szCs w:val="28"/>
              </w:rPr>
              <w:t>AccordingtoHauleu</w:t>
            </w:r>
          </w:p>
        </w:tc>
        <w:tc>
          <w:tcPr>
            <w:tcW w:w="1971" w:type="dxa"/>
          </w:tcPr>
          <w:p w:rsidR="00E94CC3" w:rsidRPr="00704DF2" w:rsidRDefault="00E94CC3" w:rsidP="00704DF2">
            <w:pPr>
              <w:spacing w:line="360" w:lineRule="auto"/>
              <w:jc w:val="center"/>
              <w:rPr>
                <w:rFonts w:ascii="Times New Roman" w:hAnsi="Times New Roman" w:cs="Times New Roman"/>
                <w:sz w:val="28"/>
                <w:szCs w:val="28"/>
              </w:rPr>
            </w:pPr>
            <w:r w:rsidRPr="00704DF2">
              <w:rPr>
                <w:rFonts w:ascii="Times New Roman" w:hAnsi="Times New Roman" w:cs="Times New Roman"/>
                <w:sz w:val="28"/>
                <w:szCs w:val="28"/>
              </w:rPr>
              <w:t>AccordingtoNikitin</w:t>
            </w:r>
          </w:p>
        </w:tc>
        <w:tc>
          <w:tcPr>
            <w:tcW w:w="1971" w:type="dxa"/>
          </w:tcPr>
          <w:p w:rsidR="00E94CC3" w:rsidRPr="00704DF2" w:rsidRDefault="00E94CC3" w:rsidP="00704DF2">
            <w:pPr>
              <w:spacing w:line="360" w:lineRule="auto"/>
              <w:jc w:val="center"/>
              <w:rPr>
                <w:rFonts w:ascii="Times New Roman" w:hAnsi="Times New Roman" w:cs="Times New Roman"/>
                <w:sz w:val="28"/>
                <w:szCs w:val="28"/>
                <w:lang w:val="en-US"/>
              </w:rPr>
            </w:pPr>
            <w:r w:rsidRPr="00704DF2">
              <w:rPr>
                <w:rFonts w:ascii="Times New Roman" w:hAnsi="Times New Roman" w:cs="Times New Roman"/>
                <w:sz w:val="28"/>
                <w:szCs w:val="28"/>
              </w:rPr>
              <w:t>Accordingto</w:t>
            </w:r>
            <w:r w:rsidRPr="00704DF2">
              <w:rPr>
                <w:rFonts w:ascii="Times New Roman" w:hAnsi="Times New Roman" w:cs="Times New Roman"/>
                <w:sz w:val="28"/>
                <w:szCs w:val="28"/>
                <w:lang w:val="en-US"/>
              </w:rPr>
              <w:t xml:space="preserve"> HTRIIM</w:t>
            </w:r>
          </w:p>
        </w:tc>
      </w:tr>
      <w:tr w:rsidR="00E94CC3" w:rsidTr="00704DF2">
        <w:tc>
          <w:tcPr>
            <w:tcW w:w="1862" w:type="dxa"/>
          </w:tcPr>
          <w:p w:rsidR="00E94CC3" w:rsidRPr="00704DF2" w:rsidRDefault="00E94CC3" w:rsidP="00704DF2">
            <w:pPr>
              <w:spacing w:line="360" w:lineRule="auto"/>
              <w:jc w:val="both"/>
              <w:rPr>
                <w:rFonts w:ascii="Times New Roman" w:hAnsi="Times New Roman" w:cs="Times New Roman"/>
                <w:sz w:val="28"/>
                <w:szCs w:val="28"/>
              </w:rPr>
            </w:pPr>
            <w:r w:rsidRPr="00704DF2">
              <w:rPr>
                <w:rFonts w:ascii="Times New Roman" w:hAnsi="Times New Roman" w:cs="Times New Roman"/>
                <w:sz w:val="28"/>
                <w:szCs w:val="28"/>
              </w:rPr>
              <w:t>Spruce</w:t>
            </w:r>
          </w:p>
        </w:tc>
        <w:tc>
          <w:tcPr>
            <w:tcW w:w="1971" w:type="dxa"/>
          </w:tcPr>
          <w:p w:rsidR="00E94CC3" w:rsidRPr="00704DF2" w:rsidRDefault="00E94CC3" w:rsidP="00704DF2">
            <w:pPr>
              <w:spacing w:line="360" w:lineRule="auto"/>
              <w:jc w:val="center"/>
              <w:rPr>
                <w:rFonts w:ascii="Times New Roman" w:hAnsi="Times New Roman" w:cs="Times New Roman"/>
                <w:sz w:val="28"/>
                <w:szCs w:val="28"/>
              </w:rPr>
            </w:pPr>
            <w:r w:rsidRPr="00704DF2">
              <w:rPr>
                <w:rFonts w:ascii="Times New Roman" w:hAnsi="Times New Roman" w:cs="Times New Roman"/>
                <w:sz w:val="28"/>
                <w:szCs w:val="28"/>
              </w:rPr>
              <w:t>1,97</w:t>
            </w:r>
          </w:p>
        </w:tc>
        <w:tc>
          <w:tcPr>
            <w:tcW w:w="1971" w:type="dxa"/>
          </w:tcPr>
          <w:p w:rsidR="00E94CC3" w:rsidRPr="00704DF2" w:rsidRDefault="00E94CC3" w:rsidP="00704DF2">
            <w:pPr>
              <w:spacing w:line="360" w:lineRule="auto"/>
              <w:jc w:val="center"/>
              <w:rPr>
                <w:rFonts w:ascii="Times New Roman" w:hAnsi="Times New Roman" w:cs="Times New Roman"/>
                <w:sz w:val="28"/>
                <w:szCs w:val="28"/>
              </w:rPr>
            </w:pPr>
            <w:r w:rsidRPr="00704DF2">
              <w:rPr>
                <w:rFonts w:ascii="Times New Roman" w:hAnsi="Times New Roman" w:cs="Times New Roman"/>
                <w:sz w:val="28"/>
                <w:szCs w:val="28"/>
              </w:rPr>
              <w:t>1,12</w:t>
            </w:r>
          </w:p>
        </w:tc>
        <w:tc>
          <w:tcPr>
            <w:tcW w:w="1971" w:type="dxa"/>
          </w:tcPr>
          <w:p w:rsidR="00E94CC3" w:rsidRPr="00704DF2" w:rsidRDefault="00E94CC3" w:rsidP="00704DF2">
            <w:pPr>
              <w:spacing w:line="360" w:lineRule="auto"/>
              <w:jc w:val="center"/>
              <w:rPr>
                <w:rFonts w:ascii="Times New Roman" w:hAnsi="Times New Roman" w:cs="Times New Roman"/>
                <w:sz w:val="28"/>
                <w:szCs w:val="28"/>
              </w:rPr>
            </w:pPr>
            <w:r w:rsidRPr="00704DF2">
              <w:rPr>
                <w:rFonts w:ascii="Times New Roman" w:hAnsi="Times New Roman" w:cs="Times New Roman"/>
                <w:sz w:val="28"/>
                <w:szCs w:val="28"/>
              </w:rPr>
              <w:t>0,96</w:t>
            </w:r>
          </w:p>
        </w:tc>
        <w:tc>
          <w:tcPr>
            <w:tcW w:w="1971" w:type="dxa"/>
          </w:tcPr>
          <w:p w:rsidR="00E94CC3" w:rsidRPr="00704DF2" w:rsidRDefault="00E94CC3" w:rsidP="00704DF2">
            <w:pPr>
              <w:spacing w:line="360" w:lineRule="auto"/>
              <w:jc w:val="center"/>
              <w:rPr>
                <w:rFonts w:ascii="Times New Roman" w:hAnsi="Times New Roman" w:cs="Times New Roman"/>
                <w:sz w:val="28"/>
                <w:szCs w:val="28"/>
              </w:rPr>
            </w:pPr>
            <w:r w:rsidRPr="00704DF2">
              <w:rPr>
                <w:rFonts w:ascii="Times New Roman" w:hAnsi="Times New Roman" w:cs="Times New Roman"/>
                <w:sz w:val="28"/>
                <w:szCs w:val="28"/>
              </w:rPr>
              <w:t>1,0</w:t>
            </w:r>
          </w:p>
        </w:tc>
      </w:tr>
      <w:tr w:rsidR="00E94CC3" w:rsidTr="00704DF2">
        <w:tc>
          <w:tcPr>
            <w:tcW w:w="1862" w:type="dxa"/>
          </w:tcPr>
          <w:p w:rsidR="00E94CC3" w:rsidRPr="00704DF2" w:rsidRDefault="00E94CC3" w:rsidP="00704DF2">
            <w:pPr>
              <w:spacing w:line="360" w:lineRule="auto"/>
              <w:jc w:val="both"/>
              <w:rPr>
                <w:rFonts w:ascii="Times New Roman" w:hAnsi="Times New Roman" w:cs="Times New Roman"/>
                <w:sz w:val="28"/>
                <w:szCs w:val="28"/>
              </w:rPr>
            </w:pPr>
            <w:r w:rsidRPr="00704DF2">
              <w:rPr>
                <w:rFonts w:ascii="Times New Roman" w:hAnsi="Times New Roman" w:cs="Times New Roman"/>
                <w:sz w:val="28"/>
                <w:szCs w:val="28"/>
              </w:rPr>
              <w:t>Pine</w:t>
            </w:r>
          </w:p>
        </w:tc>
        <w:tc>
          <w:tcPr>
            <w:tcW w:w="1971" w:type="dxa"/>
          </w:tcPr>
          <w:p w:rsidR="00E94CC3" w:rsidRPr="00704DF2" w:rsidRDefault="00E94CC3" w:rsidP="00704DF2">
            <w:pPr>
              <w:spacing w:line="360" w:lineRule="auto"/>
              <w:jc w:val="center"/>
              <w:rPr>
                <w:rFonts w:ascii="Times New Roman" w:hAnsi="Times New Roman" w:cs="Times New Roman"/>
                <w:sz w:val="28"/>
                <w:szCs w:val="28"/>
              </w:rPr>
            </w:pPr>
            <w:r w:rsidRPr="00704DF2">
              <w:rPr>
                <w:rFonts w:ascii="Times New Roman" w:hAnsi="Times New Roman" w:cs="Times New Roman"/>
                <w:sz w:val="28"/>
                <w:szCs w:val="28"/>
              </w:rPr>
              <w:t>2,31</w:t>
            </w:r>
          </w:p>
        </w:tc>
        <w:tc>
          <w:tcPr>
            <w:tcW w:w="1971" w:type="dxa"/>
          </w:tcPr>
          <w:p w:rsidR="00E94CC3" w:rsidRPr="00704DF2" w:rsidRDefault="00E94CC3" w:rsidP="00704DF2">
            <w:pPr>
              <w:spacing w:line="360" w:lineRule="auto"/>
              <w:jc w:val="center"/>
              <w:rPr>
                <w:rFonts w:ascii="Times New Roman" w:hAnsi="Times New Roman" w:cs="Times New Roman"/>
                <w:sz w:val="28"/>
                <w:szCs w:val="28"/>
              </w:rPr>
            </w:pPr>
            <w:r w:rsidRPr="00704DF2">
              <w:rPr>
                <w:rFonts w:ascii="Times New Roman" w:hAnsi="Times New Roman" w:cs="Times New Roman"/>
                <w:sz w:val="28"/>
                <w:szCs w:val="28"/>
              </w:rPr>
              <w:t>3,16</w:t>
            </w:r>
          </w:p>
        </w:tc>
        <w:tc>
          <w:tcPr>
            <w:tcW w:w="1971" w:type="dxa"/>
          </w:tcPr>
          <w:p w:rsidR="00E94CC3" w:rsidRPr="00704DF2" w:rsidRDefault="00E94CC3" w:rsidP="00704DF2">
            <w:pPr>
              <w:spacing w:line="360" w:lineRule="auto"/>
              <w:jc w:val="center"/>
              <w:rPr>
                <w:rFonts w:ascii="Times New Roman" w:hAnsi="Times New Roman" w:cs="Times New Roman"/>
                <w:sz w:val="28"/>
                <w:szCs w:val="28"/>
              </w:rPr>
            </w:pPr>
            <w:r w:rsidRPr="00704DF2">
              <w:rPr>
                <w:rFonts w:ascii="Times New Roman" w:hAnsi="Times New Roman" w:cs="Times New Roman"/>
                <w:sz w:val="28"/>
                <w:szCs w:val="28"/>
              </w:rPr>
              <w:t>0,6</w:t>
            </w:r>
          </w:p>
        </w:tc>
        <w:tc>
          <w:tcPr>
            <w:tcW w:w="1971" w:type="dxa"/>
          </w:tcPr>
          <w:p w:rsidR="00E94CC3" w:rsidRPr="00704DF2" w:rsidRDefault="00E94CC3" w:rsidP="00704DF2">
            <w:pPr>
              <w:spacing w:line="360" w:lineRule="auto"/>
              <w:jc w:val="center"/>
              <w:rPr>
                <w:rFonts w:ascii="Times New Roman" w:hAnsi="Times New Roman" w:cs="Times New Roman"/>
                <w:sz w:val="28"/>
                <w:szCs w:val="28"/>
              </w:rPr>
            </w:pPr>
            <w:r w:rsidRPr="00704DF2">
              <w:rPr>
                <w:rFonts w:ascii="Times New Roman" w:hAnsi="Times New Roman" w:cs="Times New Roman"/>
                <w:sz w:val="28"/>
                <w:szCs w:val="28"/>
              </w:rPr>
              <w:t>1,55</w:t>
            </w:r>
          </w:p>
        </w:tc>
      </w:tr>
      <w:tr w:rsidR="00E94CC3" w:rsidTr="00704DF2">
        <w:tc>
          <w:tcPr>
            <w:tcW w:w="1862" w:type="dxa"/>
          </w:tcPr>
          <w:p w:rsidR="00E94CC3" w:rsidRPr="00704DF2" w:rsidRDefault="00E94CC3" w:rsidP="00704DF2">
            <w:pPr>
              <w:spacing w:line="360" w:lineRule="auto"/>
              <w:jc w:val="both"/>
              <w:rPr>
                <w:rFonts w:ascii="Times New Roman" w:hAnsi="Times New Roman" w:cs="Times New Roman"/>
                <w:sz w:val="28"/>
                <w:szCs w:val="28"/>
              </w:rPr>
            </w:pPr>
            <w:r w:rsidRPr="00704DF2">
              <w:rPr>
                <w:rFonts w:ascii="Times New Roman" w:hAnsi="Times New Roman" w:cs="Times New Roman"/>
                <w:sz w:val="28"/>
                <w:szCs w:val="28"/>
              </w:rPr>
              <w:t>Birch</w:t>
            </w:r>
          </w:p>
        </w:tc>
        <w:tc>
          <w:tcPr>
            <w:tcW w:w="1971" w:type="dxa"/>
          </w:tcPr>
          <w:p w:rsidR="00E94CC3" w:rsidRPr="00704DF2" w:rsidRDefault="00E94CC3" w:rsidP="00704DF2">
            <w:pPr>
              <w:spacing w:line="360" w:lineRule="auto"/>
              <w:jc w:val="center"/>
              <w:rPr>
                <w:rFonts w:ascii="Times New Roman" w:hAnsi="Times New Roman" w:cs="Times New Roman"/>
                <w:sz w:val="28"/>
                <w:szCs w:val="28"/>
              </w:rPr>
            </w:pPr>
            <w:r w:rsidRPr="00704DF2">
              <w:rPr>
                <w:rFonts w:ascii="Times New Roman" w:hAnsi="Times New Roman" w:cs="Times New Roman"/>
                <w:sz w:val="28"/>
                <w:szCs w:val="28"/>
              </w:rPr>
              <w:t>-</w:t>
            </w:r>
          </w:p>
        </w:tc>
        <w:tc>
          <w:tcPr>
            <w:tcW w:w="1971" w:type="dxa"/>
          </w:tcPr>
          <w:p w:rsidR="00E94CC3" w:rsidRPr="00704DF2" w:rsidRDefault="00E94CC3" w:rsidP="00704DF2">
            <w:pPr>
              <w:spacing w:line="360" w:lineRule="auto"/>
              <w:jc w:val="center"/>
              <w:rPr>
                <w:rFonts w:ascii="Times New Roman" w:hAnsi="Times New Roman" w:cs="Times New Roman"/>
                <w:sz w:val="28"/>
                <w:szCs w:val="28"/>
              </w:rPr>
            </w:pPr>
            <w:r w:rsidRPr="00704DF2">
              <w:rPr>
                <w:rFonts w:ascii="Times New Roman" w:hAnsi="Times New Roman" w:cs="Times New Roman"/>
                <w:sz w:val="28"/>
                <w:szCs w:val="28"/>
              </w:rPr>
              <w:t>2,67</w:t>
            </w:r>
          </w:p>
        </w:tc>
        <w:tc>
          <w:tcPr>
            <w:tcW w:w="1971" w:type="dxa"/>
          </w:tcPr>
          <w:p w:rsidR="00E94CC3" w:rsidRPr="00704DF2" w:rsidRDefault="00E94CC3" w:rsidP="00704DF2">
            <w:pPr>
              <w:spacing w:line="360" w:lineRule="auto"/>
              <w:jc w:val="center"/>
              <w:rPr>
                <w:rFonts w:ascii="Times New Roman" w:hAnsi="Times New Roman" w:cs="Times New Roman"/>
                <w:sz w:val="28"/>
                <w:szCs w:val="28"/>
              </w:rPr>
            </w:pPr>
            <w:r w:rsidRPr="00704DF2">
              <w:rPr>
                <w:rFonts w:ascii="Times New Roman" w:hAnsi="Times New Roman" w:cs="Times New Roman"/>
                <w:sz w:val="28"/>
                <w:szCs w:val="28"/>
              </w:rPr>
              <w:t>0,33-0,59</w:t>
            </w:r>
          </w:p>
        </w:tc>
        <w:tc>
          <w:tcPr>
            <w:tcW w:w="1971" w:type="dxa"/>
          </w:tcPr>
          <w:p w:rsidR="00E94CC3" w:rsidRPr="00704DF2" w:rsidRDefault="00E94CC3" w:rsidP="00704DF2">
            <w:pPr>
              <w:spacing w:line="360" w:lineRule="auto"/>
              <w:jc w:val="center"/>
              <w:rPr>
                <w:rFonts w:ascii="Times New Roman" w:hAnsi="Times New Roman" w:cs="Times New Roman"/>
                <w:sz w:val="28"/>
                <w:szCs w:val="28"/>
              </w:rPr>
            </w:pPr>
            <w:r w:rsidRPr="00704DF2">
              <w:rPr>
                <w:rFonts w:ascii="Times New Roman" w:hAnsi="Times New Roman" w:cs="Times New Roman"/>
                <w:sz w:val="28"/>
                <w:szCs w:val="28"/>
              </w:rPr>
              <w:t>1,08</w:t>
            </w:r>
          </w:p>
        </w:tc>
      </w:tr>
      <w:tr w:rsidR="00E94CC3" w:rsidTr="00704DF2">
        <w:tc>
          <w:tcPr>
            <w:tcW w:w="1862" w:type="dxa"/>
          </w:tcPr>
          <w:p w:rsidR="00E94CC3" w:rsidRPr="00704DF2" w:rsidRDefault="00E94CC3" w:rsidP="00704DF2">
            <w:pPr>
              <w:pStyle w:val="NormalWeb"/>
              <w:spacing w:line="360" w:lineRule="auto"/>
              <w:rPr>
                <w:b/>
                <w:sz w:val="28"/>
                <w:szCs w:val="28"/>
              </w:rPr>
            </w:pPr>
            <w:r w:rsidRPr="00704DF2">
              <w:rPr>
                <w:rStyle w:val="Strong"/>
                <w:b w:val="0"/>
                <w:sz w:val="28"/>
                <w:szCs w:val="28"/>
              </w:rPr>
              <w:t>Aspen</w:t>
            </w:r>
          </w:p>
        </w:tc>
        <w:tc>
          <w:tcPr>
            <w:tcW w:w="1971" w:type="dxa"/>
          </w:tcPr>
          <w:p w:rsidR="00E94CC3" w:rsidRPr="00704DF2" w:rsidRDefault="00E94CC3" w:rsidP="00704DF2">
            <w:pPr>
              <w:spacing w:line="360" w:lineRule="auto"/>
              <w:jc w:val="center"/>
              <w:rPr>
                <w:rFonts w:ascii="Times New Roman" w:hAnsi="Times New Roman" w:cs="Times New Roman"/>
                <w:sz w:val="28"/>
                <w:szCs w:val="28"/>
              </w:rPr>
            </w:pPr>
            <w:r w:rsidRPr="00704DF2">
              <w:rPr>
                <w:rFonts w:ascii="Times New Roman" w:hAnsi="Times New Roman" w:cs="Times New Roman"/>
                <w:sz w:val="28"/>
                <w:szCs w:val="28"/>
              </w:rPr>
              <w:t>2,4</w:t>
            </w:r>
          </w:p>
        </w:tc>
        <w:tc>
          <w:tcPr>
            <w:tcW w:w="1971" w:type="dxa"/>
          </w:tcPr>
          <w:p w:rsidR="00E94CC3" w:rsidRPr="00704DF2" w:rsidRDefault="00E94CC3" w:rsidP="00704DF2">
            <w:pPr>
              <w:spacing w:line="360" w:lineRule="auto"/>
              <w:jc w:val="center"/>
              <w:rPr>
                <w:rFonts w:ascii="Times New Roman" w:hAnsi="Times New Roman" w:cs="Times New Roman"/>
                <w:sz w:val="28"/>
                <w:szCs w:val="28"/>
              </w:rPr>
            </w:pPr>
            <w:r w:rsidRPr="00704DF2">
              <w:rPr>
                <w:rFonts w:ascii="Times New Roman" w:hAnsi="Times New Roman" w:cs="Times New Roman"/>
                <w:sz w:val="28"/>
                <w:szCs w:val="28"/>
              </w:rPr>
              <w:t>-</w:t>
            </w:r>
          </w:p>
        </w:tc>
        <w:tc>
          <w:tcPr>
            <w:tcW w:w="1971" w:type="dxa"/>
          </w:tcPr>
          <w:p w:rsidR="00E94CC3" w:rsidRPr="00704DF2" w:rsidRDefault="00E94CC3" w:rsidP="00704DF2">
            <w:pPr>
              <w:spacing w:line="360" w:lineRule="auto"/>
              <w:jc w:val="center"/>
              <w:rPr>
                <w:rFonts w:ascii="Times New Roman" w:hAnsi="Times New Roman" w:cs="Times New Roman"/>
                <w:sz w:val="28"/>
                <w:szCs w:val="28"/>
              </w:rPr>
            </w:pPr>
            <w:r w:rsidRPr="00704DF2">
              <w:rPr>
                <w:rFonts w:ascii="Times New Roman" w:hAnsi="Times New Roman" w:cs="Times New Roman"/>
                <w:sz w:val="28"/>
                <w:szCs w:val="28"/>
              </w:rPr>
              <w:t>-</w:t>
            </w:r>
          </w:p>
        </w:tc>
        <w:tc>
          <w:tcPr>
            <w:tcW w:w="1971" w:type="dxa"/>
          </w:tcPr>
          <w:p w:rsidR="00E94CC3" w:rsidRPr="00704DF2" w:rsidRDefault="00E94CC3" w:rsidP="00704DF2">
            <w:pPr>
              <w:spacing w:line="360" w:lineRule="auto"/>
              <w:jc w:val="center"/>
              <w:rPr>
                <w:rFonts w:ascii="Times New Roman" w:hAnsi="Times New Roman" w:cs="Times New Roman"/>
                <w:sz w:val="28"/>
                <w:szCs w:val="28"/>
              </w:rPr>
            </w:pPr>
            <w:r w:rsidRPr="00704DF2">
              <w:rPr>
                <w:rFonts w:ascii="Times New Roman" w:hAnsi="Times New Roman" w:cs="Times New Roman"/>
                <w:sz w:val="28"/>
                <w:szCs w:val="28"/>
              </w:rPr>
              <w:t>2</w:t>
            </w:r>
          </w:p>
        </w:tc>
      </w:tr>
      <w:tr w:rsidR="00E94CC3" w:rsidTr="00704DF2">
        <w:tc>
          <w:tcPr>
            <w:tcW w:w="1862" w:type="dxa"/>
          </w:tcPr>
          <w:p w:rsidR="00E94CC3" w:rsidRPr="00704DF2" w:rsidRDefault="00E94CC3" w:rsidP="00704DF2">
            <w:pPr>
              <w:spacing w:line="360" w:lineRule="auto"/>
              <w:jc w:val="both"/>
              <w:rPr>
                <w:rFonts w:ascii="Times New Roman" w:hAnsi="Times New Roman" w:cs="Times New Roman"/>
                <w:sz w:val="28"/>
                <w:szCs w:val="28"/>
              </w:rPr>
            </w:pPr>
            <w:r w:rsidRPr="00704DF2">
              <w:rPr>
                <w:rFonts w:ascii="Times New Roman" w:hAnsi="Times New Roman" w:cs="Times New Roman"/>
                <w:sz w:val="28"/>
                <w:szCs w:val="28"/>
              </w:rPr>
              <w:t>Larch</w:t>
            </w:r>
          </w:p>
        </w:tc>
        <w:tc>
          <w:tcPr>
            <w:tcW w:w="1971" w:type="dxa"/>
          </w:tcPr>
          <w:p w:rsidR="00E94CC3" w:rsidRPr="00704DF2" w:rsidRDefault="00E94CC3" w:rsidP="00704DF2">
            <w:pPr>
              <w:spacing w:line="360" w:lineRule="auto"/>
              <w:jc w:val="center"/>
              <w:rPr>
                <w:rFonts w:ascii="Times New Roman" w:hAnsi="Times New Roman" w:cs="Times New Roman"/>
                <w:sz w:val="28"/>
                <w:szCs w:val="28"/>
              </w:rPr>
            </w:pPr>
            <w:r w:rsidRPr="00704DF2">
              <w:rPr>
                <w:rFonts w:ascii="Times New Roman" w:hAnsi="Times New Roman" w:cs="Times New Roman"/>
                <w:sz w:val="28"/>
                <w:szCs w:val="28"/>
              </w:rPr>
              <w:t>-</w:t>
            </w:r>
          </w:p>
        </w:tc>
        <w:tc>
          <w:tcPr>
            <w:tcW w:w="1971" w:type="dxa"/>
          </w:tcPr>
          <w:p w:rsidR="00E94CC3" w:rsidRPr="00704DF2" w:rsidRDefault="00E94CC3" w:rsidP="00704DF2">
            <w:pPr>
              <w:spacing w:line="360" w:lineRule="auto"/>
              <w:jc w:val="center"/>
              <w:rPr>
                <w:rFonts w:ascii="Times New Roman" w:hAnsi="Times New Roman" w:cs="Times New Roman"/>
                <w:sz w:val="28"/>
                <w:szCs w:val="28"/>
              </w:rPr>
            </w:pPr>
            <w:r w:rsidRPr="00704DF2">
              <w:rPr>
                <w:rFonts w:ascii="Times New Roman" w:hAnsi="Times New Roman" w:cs="Times New Roman"/>
                <w:sz w:val="28"/>
                <w:szCs w:val="28"/>
              </w:rPr>
              <w:t>10,6</w:t>
            </w:r>
          </w:p>
        </w:tc>
        <w:tc>
          <w:tcPr>
            <w:tcW w:w="1971" w:type="dxa"/>
          </w:tcPr>
          <w:p w:rsidR="00E94CC3" w:rsidRPr="00704DF2" w:rsidRDefault="00E94CC3" w:rsidP="00704DF2">
            <w:pPr>
              <w:spacing w:line="360" w:lineRule="auto"/>
              <w:jc w:val="center"/>
              <w:rPr>
                <w:rFonts w:ascii="Times New Roman" w:hAnsi="Times New Roman" w:cs="Times New Roman"/>
                <w:sz w:val="28"/>
                <w:szCs w:val="28"/>
              </w:rPr>
            </w:pPr>
            <w:r w:rsidRPr="00704DF2">
              <w:rPr>
                <w:rFonts w:ascii="Times New Roman" w:hAnsi="Times New Roman" w:cs="Times New Roman"/>
                <w:sz w:val="28"/>
                <w:szCs w:val="28"/>
              </w:rPr>
              <w:t>5,11</w:t>
            </w:r>
          </w:p>
        </w:tc>
        <w:tc>
          <w:tcPr>
            <w:tcW w:w="1971" w:type="dxa"/>
          </w:tcPr>
          <w:p w:rsidR="00E94CC3" w:rsidRPr="00704DF2" w:rsidRDefault="00E94CC3" w:rsidP="00704DF2">
            <w:pPr>
              <w:spacing w:line="360" w:lineRule="auto"/>
              <w:jc w:val="center"/>
              <w:rPr>
                <w:rFonts w:ascii="Times New Roman" w:hAnsi="Times New Roman" w:cs="Times New Roman"/>
                <w:sz w:val="28"/>
                <w:szCs w:val="28"/>
              </w:rPr>
            </w:pPr>
            <w:r w:rsidRPr="00704DF2">
              <w:rPr>
                <w:rFonts w:ascii="Times New Roman" w:hAnsi="Times New Roman" w:cs="Times New Roman"/>
                <w:sz w:val="28"/>
                <w:szCs w:val="28"/>
              </w:rPr>
              <w:t>-</w:t>
            </w:r>
          </w:p>
        </w:tc>
      </w:tr>
    </w:tbl>
    <w:p w:rsidR="00E94CC3" w:rsidRPr="004F5A30" w:rsidRDefault="00E94CC3" w:rsidP="00D90CF2">
      <w:pPr>
        <w:spacing w:line="360" w:lineRule="auto"/>
        <w:jc w:val="both"/>
        <w:rPr>
          <w:rFonts w:ascii="Times New Roman" w:hAnsi="Times New Roman" w:cs="Times New Roman"/>
          <w:sz w:val="28"/>
          <w:szCs w:val="28"/>
        </w:rPr>
      </w:pPr>
    </w:p>
    <w:p w:rsidR="00E94CC3" w:rsidRPr="000C3D95" w:rsidRDefault="00E94CC3" w:rsidP="00D90CF2">
      <w:pPr>
        <w:spacing w:line="360" w:lineRule="auto"/>
        <w:ind w:firstLine="708"/>
        <w:jc w:val="both"/>
        <w:rPr>
          <w:rFonts w:ascii="Times New Roman" w:hAnsi="Times New Roman" w:cs="Times New Roman"/>
          <w:sz w:val="28"/>
          <w:szCs w:val="28"/>
          <w:lang w:val="en-US"/>
        </w:rPr>
      </w:pPr>
      <w:r w:rsidRPr="000C3D95">
        <w:rPr>
          <w:rFonts w:ascii="Times New Roman" w:hAnsi="Times New Roman" w:cs="Times New Roman"/>
          <w:b/>
          <w:sz w:val="28"/>
          <w:szCs w:val="28"/>
          <w:lang w:val="en-US"/>
        </w:rPr>
        <w:t>Improving wood–cement compatibility.</w:t>
      </w:r>
      <w:r w:rsidRPr="000C3D95">
        <w:rPr>
          <w:rFonts w:ascii="Times New Roman" w:hAnsi="Times New Roman" w:cs="Times New Roman"/>
          <w:sz w:val="28"/>
          <w:szCs w:val="28"/>
          <w:lang w:val="en-US"/>
        </w:rPr>
        <w:t>Several methods are used to improve the compatibility between wood and cement, including pre-treatment of the wood, addition of cement setting accelerators, and CO</w:t>
      </w:r>
      <w:r w:rsidRPr="000C3D95">
        <w:rPr>
          <w:rFonts w:ascii="MS Mincho" w:eastAsia="MS Mincho" w:hAnsi="MS Mincho" w:cs="MS Mincho" w:hint="eastAsia"/>
          <w:sz w:val="28"/>
          <w:szCs w:val="28"/>
          <w:lang w:val="en-US"/>
        </w:rPr>
        <w:t>₂</w:t>
      </w:r>
      <w:r w:rsidRPr="000C3D95">
        <w:rPr>
          <w:rFonts w:ascii="Times New Roman" w:hAnsi="Times New Roman" w:cs="Times New Roman"/>
          <w:sz w:val="28"/>
          <w:szCs w:val="28"/>
          <w:lang w:val="en-US"/>
        </w:rPr>
        <w:t xml:space="preserve"> gas injection. The elimination of cement curing inhibition by these methods can be explained either by a reduction in the amount of inhibitory substances diffusing into the cement paste or by the acceleration of cement hydration through external means to counteract the retarding effect of wood addition [5].</w:t>
      </w:r>
    </w:p>
    <w:p w:rsidR="00E94CC3" w:rsidRDefault="00E94CC3" w:rsidP="00D90CF2">
      <w:pPr>
        <w:spacing w:line="360" w:lineRule="auto"/>
        <w:ind w:firstLine="708"/>
        <w:jc w:val="both"/>
        <w:rPr>
          <w:rFonts w:ascii="Times New Roman" w:hAnsi="Times New Roman" w:cs="Times New Roman"/>
          <w:sz w:val="28"/>
          <w:szCs w:val="28"/>
          <w:lang w:val="en-US"/>
        </w:rPr>
      </w:pPr>
      <w:r w:rsidRPr="000C3D95">
        <w:rPr>
          <w:rFonts w:ascii="Times New Roman" w:hAnsi="Times New Roman" w:cs="Times New Roman"/>
          <w:sz w:val="28"/>
          <w:szCs w:val="28"/>
          <w:lang w:val="en-US"/>
        </w:rPr>
        <w:t>The addition of certain chemicals that act as cement curing accelerators generally leads to improved compatibility of wood–cement composites, and this addition can also be applied after extractive removal to further enhance cement setting.</w:t>
      </w:r>
    </w:p>
    <w:p w:rsidR="00E94CC3" w:rsidRDefault="00E94CC3" w:rsidP="00D90CF2">
      <w:pPr>
        <w:spacing w:line="360" w:lineRule="auto"/>
        <w:ind w:firstLine="708"/>
        <w:jc w:val="both"/>
        <w:rPr>
          <w:rFonts w:ascii="Times New Roman" w:hAnsi="Times New Roman" w:cs="Times New Roman"/>
          <w:sz w:val="28"/>
          <w:szCs w:val="28"/>
          <w:lang w:val="en-US"/>
        </w:rPr>
      </w:pPr>
      <w:r w:rsidRPr="000C3D95">
        <w:rPr>
          <w:rFonts w:ascii="Times New Roman" w:hAnsi="Times New Roman" w:cs="Times New Roman"/>
          <w:sz w:val="28"/>
          <w:szCs w:val="28"/>
          <w:lang w:val="en-US"/>
        </w:rPr>
        <w:t>Some mineral additives incorporated into the cement–wood mixture improve its quality. One of the most promising additives for the production of woo</w:t>
      </w:r>
      <w:r>
        <w:rPr>
          <w:rFonts w:ascii="Times New Roman" w:hAnsi="Times New Roman" w:cs="Times New Roman"/>
          <w:sz w:val="28"/>
          <w:szCs w:val="28"/>
          <w:lang w:val="en-US"/>
        </w:rPr>
        <w:t>d–cement boards is silica</w:t>
      </w:r>
      <w:r w:rsidRPr="000C3D95">
        <w:rPr>
          <w:rFonts w:ascii="Times New Roman" w:hAnsi="Times New Roman" w:cs="Times New Roman"/>
          <w:sz w:val="28"/>
          <w:szCs w:val="28"/>
          <w:lang w:val="en-US"/>
        </w:rPr>
        <w:t>. The rapid increase in the use of silica in cement-based materials is due to its beneficial effect on the physical and mechanical properties of cement-based composites, such as increased strength and reduced permeability. Replacing 10% of cement with silica fume eliminates the inhibitory effect of wood on cement setting. The addition of pozzolan to cement mixtures reduces the harmful retarding effect of wood extractives. Since the specific surface area of pozzolan is significantly larger than that of cement and its sorption capacity is higher, the adsorption of water-soluble wood substances occurs primarily on the pozzolan surface, thereby reducing the concentration of extractives in the mixture.</w:t>
      </w:r>
    </w:p>
    <w:p w:rsidR="00E94CC3" w:rsidRDefault="00E94CC3" w:rsidP="00D90CF2">
      <w:pPr>
        <w:spacing w:line="360" w:lineRule="auto"/>
        <w:ind w:firstLine="708"/>
        <w:jc w:val="both"/>
        <w:rPr>
          <w:rFonts w:ascii="Times New Roman" w:hAnsi="Times New Roman" w:cs="Times New Roman"/>
          <w:sz w:val="28"/>
          <w:szCs w:val="28"/>
          <w:lang w:val="en-US"/>
        </w:rPr>
      </w:pPr>
      <w:r w:rsidRPr="00D90CF2">
        <w:rPr>
          <w:rFonts w:ascii="Times New Roman" w:hAnsi="Times New Roman" w:cs="Times New Roman"/>
          <w:sz w:val="28"/>
          <w:szCs w:val="28"/>
          <w:lang w:val="en-US"/>
        </w:rPr>
        <w:t>Another promising method for introducing CO</w:t>
      </w:r>
      <w:r w:rsidRPr="00D90CF2">
        <w:rPr>
          <w:rFonts w:ascii="MS Mincho" w:eastAsia="MS Mincho" w:hAnsi="MS Mincho" w:cs="MS Mincho" w:hint="eastAsia"/>
          <w:sz w:val="28"/>
          <w:szCs w:val="28"/>
          <w:lang w:val="en-US"/>
        </w:rPr>
        <w:t>₂</w:t>
      </w:r>
      <w:r w:rsidRPr="00D90CF2">
        <w:rPr>
          <w:rFonts w:ascii="Times New Roman" w:hAnsi="Times New Roman" w:cs="Times New Roman"/>
          <w:sz w:val="28"/>
          <w:szCs w:val="28"/>
          <w:lang w:val="en-US"/>
        </w:rPr>
        <w:t xml:space="preserve"> to accelerate cement setting in wood–cement mixtures and improve wood–cement compatibility is the use of gaseous or supercritical CO</w:t>
      </w:r>
      <w:r w:rsidRPr="00D90CF2">
        <w:rPr>
          <w:rFonts w:ascii="MS Mincho" w:eastAsia="MS Mincho" w:hAnsi="MS Mincho" w:cs="MS Mincho" w:hint="eastAsia"/>
          <w:sz w:val="28"/>
          <w:szCs w:val="28"/>
          <w:lang w:val="en-US"/>
        </w:rPr>
        <w:t>₂</w:t>
      </w:r>
      <w:r w:rsidRPr="00D90CF2">
        <w:rPr>
          <w:rFonts w:ascii="Times New Roman" w:hAnsi="Times New Roman" w:cs="Times New Roman"/>
          <w:sz w:val="28"/>
          <w:szCs w:val="28"/>
          <w:lang w:val="en-US"/>
        </w:rPr>
        <w:t>. CO</w:t>
      </w:r>
      <w:r w:rsidRPr="00D90CF2">
        <w:rPr>
          <w:rFonts w:ascii="MS Mincho" w:eastAsia="MS Mincho" w:hAnsi="MS Mincho" w:cs="MS Mincho" w:hint="eastAsia"/>
          <w:sz w:val="28"/>
          <w:szCs w:val="28"/>
          <w:lang w:val="en-US"/>
        </w:rPr>
        <w:t>₂</w:t>
      </w:r>
      <w:r w:rsidRPr="00D90CF2">
        <w:rPr>
          <w:rFonts w:ascii="Times New Roman" w:hAnsi="Times New Roman" w:cs="Times New Roman"/>
          <w:sz w:val="28"/>
          <w:szCs w:val="28"/>
          <w:lang w:val="en-US"/>
        </w:rPr>
        <w:t xml:space="preserve"> reacts with calcium silicate in the cement, forming highly insoluble calcium carbonate. It has been confirmed that the carbonation reaction is a diffusion-controlled process. This occurs very rapidly during the first two minutes of the reaction. Afterward, the reaction rate sharply decreases due to the increasing difficulty of transporting reactants to the reaction sites. Rapid carbonation can accelerate the formation of hydration products (e.g., calcium carbonate and calcium silicate), and scanning electron microscopy analysis has shown that the interaction of calcium silicates in cement with carbon dioxide leads to fast hardening of the wood–cement–water mixture. The strength of wood–cement composites containing 10 or 15% fibers increases after a 4-minute CO</w:t>
      </w:r>
      <w:r w:rsidRPr="00D90CF2">
        <w:rPr>
          <w:rFonts w:ascii="MS Mincho" w:eastAsia="MS Mincho" w:hAnsi="MS Mincho" w:cs="MS Mincho" w:hint="eastAsia"/>
          <w:sz w:val="28"/>
          <w:szCs w:val="28"/>
          <w:lang w:val="en-US"/>
        </w:rPr>
        <w:t>₂</w:t>
      </w:r>
      <w:r w:rsidRPr="00D90CF2">
        <w:rPr>
          <w:rFonts w:ascii="Times New Roman" w:hAnsi="Times New Roman" w:cs="Times New Roman"/>
          <w:sz w:val="28"/>
          <w:szCs w:val="28"/>
          <w:lang w:val="en-US"/>
        </w:rPr>
        <w:t xml:space="preserve"> injection, allowing the composites to be removed from the press within minutes rather than hours, which is typically the case when composites harden through normal hydration processes.</w:t>
      </w:r>
    </w:p>
    <w:p w:rsidR="00E94CC3" w:rsidRDefault="00E94CC3" w:rsidP="00D90CF2">
      <w:pPr>
        <w:spacing w:line="360" w:lineRule="auto"/>
        <w:ind w:firstLine="708"/>
        <w:jc w:val="both"/>
        <w:rPr>
          <w:rFonts w:ascii="Times New Roman" w:hAnsi="Times New Roman" w:cs="Times New Roman"/>
          <w:sz w:val="28"/>
          <w:szCs w:val="28"/>
          <w:lang w:val="en-US"/>
        </w:rPr>
      </w:pPr>
      <w:r w:rsidRPr="00D90CF2">
        <w:rPr>
          <w:rFonts w:ascii="Times New Roman" w:hAnsi="Times New Roman" w:cs="Times New Roman"/>
          <w:sz w:val="28"/>
          <w:szCs w:val="28"/>
          <w:lang w:val="en-US"/>
        </w:rPr>
        <w:t>The supercritical fluid method can provide faster penetration and more uniform distribution of CO</w:t>
      </w:r>
      <w:r w:rsidRPr="00D90CF2">
        <w:rPr>
          <w:rFonts w:ascii="MS Mincho" w:eastAsia="MS Mincho" w:hAnsi="MS Mincho" w:cs="MS Mincho" w:hint="eastAsia"/>
          <w:sz w:val="28"/>
          <w:szCs w:val="28"/>
          <w:lang w:val="en-US"/>
        </w:rPr>
        <w:t>₂</w:t>
      </w:r>
      <w:r w:rsidRPr="00D90CF2">
        <w:rPr>
          <w:rFonts w:ascii="Times New Roman" w:hAnsi="Times New Roman" w:cs="Times New Roman"/>
          <w:sz w:val="28"/>
          <w:szCs w:val="28"/>
          <w:lang w:val="en-US"/>
        </w:rPr>
        <w:t>, resulting in quicker cement curing and, consequently, improved strength properties of the boards. Optimal properties of supercritical CO</w:t>
      </w:r>
      <w:r w:rsidRPr="00D90CF2">
        <w:rPr>
          <w:rFonts w:ascii="MS Mincho" w:eastAsia="MS Mincho" w:hAnsi="MS Mincho" w:cs="MS Mincho" w:hint="eastAsia"/>
          <w:sz w:val="28"/>
          <w:szCs w:val="28"/>
          <w:lang w:val="en-US"/>
        </w:rPr>
        <w:t>₂</w:t>
      </w:r>
      <w:r w:rsidRPr="00D90CF2">
        <w:rPr>
          <w:rFonts w:ascii="Times New Roman" w:hAnsi="Times New Roman" w:cs="Times New Roman"/>
          <w:sz w:val="28"/>
          <w:szCs w:val="28"/>
          <w:lang w:val="en-US"/>
        </w:rPr>
        <w:t>-cured wood–cement boards can be achieved sooner than with gaseous CO</w:t>
      </w:r>
      <w:r w:rsidRPr="00D90CF2">
        <w:rPr>
          <w:rFonts w:ascii="MS Mincho" w:eastAsia="MS Mincho" w:hAnsi="MS Mincho" w:cs="MS Mincho" w:hint="eastAsia"/>
          <w:sz w:val="28"/>
          <w:szCs w:val="28"/>
          <w:lang w:val="en-US"/>
        </w:rPr>
        <w:t>₂</w:t>
      </w:r>
      <w:r w:rsidRPr="00D90CF2">
        <w:rPr>
          <w:rFonts w:ascii="Times New Roman" w:hAnsi="Times New Roman" w:cs="Times New Roman"/>
          <w:sz w:val="28"/>
          <w:szCs w:val="28"/>
          <w:lang w:val="en-US"/>
        </w:rPr>
        <w:t xml:space="preserve"> curing. However, it has been suggested that prolonged supercritical CO</w:t>
      </w:r>
      <w:r w:rsidRPr="00D90CF2">
        <w:rPr>
          <w:rFonts w:ascii="MS Mincho" w:eastAsia="MS Mincho" w:hAnsi="MS Mincho" w:cs="MS Mincho" w:hint="eastAsia"/>
          <w:sz w:val="28"/>
          <w:szCs w:val="28"/>
          <w:lang w:val="en-US"/>
        </w:rPr>
        <w:t>₂</w:t>
      </w:r>
      <w:r w:rsidRPr="00D90CF2">
        <w:rPr>
          <w:rFonts w:ascii="Times New Roman" w:hAnsi="Times New Roman" w:cs="Times New Roman"/>
          <w:sz w:val="28"/>
          <w:szCs w:val="28"/>
          <w:lang w:val="en-US"/>
        </w:rPr>
        <w:t xml:space="preserve"> treatment may lead to the degradation of cement-bonded particleboards. The curing process mainly involved the alternating application of vacuum and CO</w:t>
      </w:r>
      <w:r w:rsidRPr="00D90CF2">
        <w:rPr>
          <w:rFonts w:ascii="MS Mincho" w:eastAsia="MS Mincho" w:hAnsi="MS Mincho" w:cs="MS Mincho" w:hint="eastAsia"/>
          <w:sz w:val="28"/>
          <w:szCs w:val="28"/>
          <w:lang w:val="en-US"/>
        </w:rPr>
        <w:t>₂</w:t>
      </w:r>
      <w:r w:rsidRPr="00D90CF2">
        <w:rPr>
          <w:rFonts w:ascii="Times New Roman" w:hAnsi="Times New Roman" w:cs="Times New Roman"/>
          <w:sz w:val="28"/>
          <w:szCs w:val="28"/>
          <w:lang w:val="en-US"/>
        </w:rPr>
        <w:t xml:space="preserve"> to the top or bottom surfaces of boards, which were pressed to a thickness of </w:t>
      </w:r>
      <w:smartTag w:uri="urn:schemas-microsoft-com:office:smarttags" w:element="metricconverter">
        <w:smartTagPr>
          <w:attr w:name="ProductID" w:val="10 mm"/>
        </w:smartTagPr>
        <w:r w:rsidRPr="00D90CF2">
          <w:rPr>
            <w:rFonts w:ascii="Times New Roman" w:hAnsi="Times New Roman" w:cs="Times New Roman"/>
            <w:sz w:val="28"/>
            <w:szCs w:val="28"/>
            <w:lang w:val="en-US"/>
          </w:rPr>
          <w:t>10 mm</w:t>
        </w:r>
      </w:smartTag>
      <w:r w:rsidRPr="00D90CF2">
        <w:rPr>
          <w:rFonts w:ascii="Times New Roman" w:hAnsi="Times New Roman" w:cs="Times New Roman"/>
          <w:sz w:val="28"/>
          <w:szCs w:val="28"/>
          <w:lang w:val="en-US"/>
        </w:rPr>
        <w:t xml:space="preserve"> prior to curing. It was also found that wood–cement boards treated with this CO</w:t>
      </w:r>
      <w:r w:rsidRPr="00D90CF2">
        <w:rPr>
          <w:rFonts w:ascii="MS Mincho" w:eastAsia="MS Mincho" w:hAnsi="MS Mincho" w:cs="MS Mincho" w:hint="eastAsia"/>
          <w:sz w:val="28"/>
          <w:szCs w:val="28"/>
          <w:lang w:val="en-US"/>
        </w:rPr>
        <w:t>₂</w:t>
      </w:r>
      <w:r w:rsidRPr="00D90CF2">
        <w:rPr>
          <w:rFonts w:ascii="Times New Roman" w:hAnsi="Times New Roman" w:cs="Times New Roman"/>
          <w:sz w:val="28"/>
          <w:szCs w:val="28"/>
          <w:lang w:val="en-US"/>
        </w:rPr>
        <w:t xml:space="preserve"> curing process exhibit higher bending strength and stiffness, as well as better durability and weather resistance, since the presence of calcium carbonate reduces capillary porosity in the wood–cement mixture and improves the interfacial bonding of the wood fiber matrix.</w:t>
      </w:r>
    </w:p>
    <w:p w:rsidR="00E94CC3" w:rsidRPr="00D90CF2" w:rsidRDefault="00E94CC3" w:rsidP="00D90CF2">
      <w:pPr>
        <w:spacing w:line="360" w:lineRule="auto"/>
        <w:ind w:firstLine="708"/>
        <w:jc w:val="both"/>
        <w:rPr>
          <w:rFonts w:ascii="Times New Roman" w:hAnsi="Times New Roman" w:cs="Times New Roman"/>
          <w:b/>
          <w:sz w:val="28"/>
          <w:szCs w:val="28"/>
          <w:lang w:val="en-US"/>
        </w:rPr>
      </w:pPr>
      <w:r w:rsidRPr="00D90CF2">
        <w:rPr>
          <w:rFonts w:ascii="Times New Roman" w:hAnsi="Times New Roman" w:cs="Times New Roman"/>
          <w:b/>
          <w:sz w:val="28"/>
          <w:szCs w:val="28"/>
          <w:lang w:val="en-US"/>
        </w:rPr>
        <w:t>Conclusions.</w:t>
      </w:r>
    </w:p>
    <w:p w:rsidR="00E94CC3" w:rsidRPr="00D90CF2" w:rsidRDefault="00E94CC3" w:rsidP="00D90CF2">
      <w:pPr>
        <w:spacing w:line="360" w:lineRule="auto"/>
        <w:ind w:firstLine="708"/>
        <w:jc w:val="both"/>
        <w:rPr>
          <w:rFonts w:ascii="Times New Roman" w:hAnsi="Times New Roman" w:cs="Times New Roman"/>
          <w:sz w:val="28"/>
          <w:szCs w:val="28"/>
          <w:lang w:val="en-US"/>
        </w:rPr>
      </w:pPr>
      <w:r w:rsidRPr="00D90CF2">
        <w:rPr>
          <w:rFonts w:ascii="Times New Roman" w:hAnsi="Times New Roman" w:cs="Times New Roman"/>
          <w:sz w:val="28"/>
          <w:szCs w:val="28"/>
          <w:lang w:val="en-US"/>
        </w:rPr>
        <w:t>Before manufacturing wood–cement composite boards, it is necessary to evaluate their compatibility. The main evaluation methods include measuring the hydration characteristics of the cement–filler matrix and comparing the mechanical properties of cement–filler mixtures. However, these methods are not effective under all testing conditions or for all wood species, and evaluation results based on these methods may be inconsistent. Therefore, researchers are working to develop more effective and accurate methods that take into account a greater number of potential factors affecting the evaluation outcomes.</w:t>
      </w:r>
    </w:p>
    <w:p w:rsidR="00E94CC3" w:rsidRPr="00A25C52" w:rsidRDefault="00E94CC3" w:rsidP="00D20A66">
      <w:pPr>
        <w:spacing w:line="360" w:lineRule="auto"/>
        <w:ind w:firstLine="708"/>
        <w:jc w:val="both"/>
        <w:rPr>
          <w:rFonts w:ascii="Times New Roman" w:hAnsi="Times New Roman" w:cs="Times New Roman"/>
          <w:sz w:val="28"/>
          <w:szCs w:val="28"/>
          <w:lang w:val="en-US"/>
        </w:rPr>
      </w:pPr>
      <w:r w:rsidRPr="00D90CF2">
        <w:rPr>
          <w:rFonts w:ascii="Times New Roman" w:hAnsi="Times New Roman" w:cs="Times New Roman"/>
          <w:sz w:val="28"/>
          <w:szCs w:val="28"/>
          <w:lang w:val="en-US"/>
        </w:rPr>
        <w:t>To improve the compatibility of wood and cement, a variety of measures can be employed, such as water extraction of the wood before mixing with cement paste, the addition of cement curing accelerators and certain mineral chemicals, as well as gaseous or supercritical CO</w:t>
      </w:r>
      <w:r w:rsidRPr="00D90CF2">
        <w:rPr>
          <w:rFonts w:ascii="MS Mincho" w:eastAsia="MS Mincho" w:hAnsi="MS Mincho" w:cs="MS Mincho" w:hint="eastAsia"/>
          <w:sz w:val="28"/>
          <w:szCs w:val="28"/>
          <w:lang w:val="en-US"/>
        </w:rPr>
        <w:t>₂</w:t>
      </w:r>
      <w:r w:rsidRPr="00D90CF2">
        <w:rPr>
          <w:rFonts w:ascii="Times New Roman" w:hAnsi="Times New Roman" w:cs="Times New Roman"/>
          <w:sz w:val="28"/>
          <w:szCs w:val="28"/>
          <w:lang w:val="en-US"/>
        </w:rPr>
        <w:t xml:space="preserve"> injection. These methods are effective for wood species that strongly inhibit cement hydration, thereby facilitating the use of these species in the production of wood–cement composite products.</w:t>
      </w:r>
    </w:p>
    <w:p w:rsidR="00E94CC3" w:rsidRPr="00B70B4E" w:rsidRDefault="00E94CC3" w:rsidP="00B70B4E">
      <w:pPr>
        <w:pStyle w:val="NormalWeb"/>
        <w:spacing w:line="360" w:lineRule="auto"/>
        <w:rPr>
          <w:sz w:val="28"/>
          <w:szCs w:val="28"/>
          <w:lang w:val="uk-UA"/>
        </w:rPr>
      </w:pPr>
      <w:r w:rsidRPr="00D90CF2">
        <w:rPr>
          <w:b/>
          <w:bCs/>
          <w:sz w:val="28"/>
          <w:szCs w:val="28"/>
          <w:lang w:val="en-US"/>
        </w:rPr>
        <w:t>References</w:t>
      </w:r>
      <w:r>
        <w:rPr>
          <w:b/>
          <w:bCs/>
          <w:sz w:val="28"/>
          <w:szCs w:val="28"/>
          <w:lang w:val="uk-UA"/>
        </w:rPr>
        <w:t>:</w:t>
      </w:r>
    </w:p>
    <w:p w:rsidR="00E94CC3" w:rsidRPr="00D90CF2" w:rsidRDefault="00E94CC3" w:rsidP="00F06C97">
      <w:pPr>
        <w:spacing w:line="360" w:lineRule="auto"/>
        <w:ind w:left="284" w:hanging="284"/>
        <w:jc w:val="both"/>
        <w:rPr>
          <w:rFonts w:ascii="Times New Roman" w:hAnsi="Times New Roman" w:cs="Times New Roman"/>
          <w:sz w:val="28"/>
          <w:szCs w:val="28"/>
          <w:lang w:val="en-US"/>
        </w:rPr>
      </w:pPr>
      <w:r w:rsidRPr="00D90CF2">
        <w:rPr>
          <w:rFonts w:ascii="Times New Roman" w:hAnsi="Times New Roman" w:cs="Times New Roman"/>
          <w:sz w:val="28"/>
          <w:szCs w:val="28"/>
          <w:lang w:val="en-US"/>
        </w:rPr>
        <w:t xml:space="preserve">1. Bukharin V.I., Sviridov S.G., Ushnyakov P.N., Sargina E.M. </w:t>
      </w:r>
      <w:r w:rsidRPr="00D90CF2">
        <w:rPr>
          <w:rFonts w:ascii="Times New Roman" w:hAnsi="Times New Roman" w:cs="Times New Roman"/>
          <w:i/>
          <w:iCs/>
          <w:sz w:val="28"/>
          <w:szCs w:val="28"/>
          <w:lang w:val="en-US"/>
        </w:rPr>
        <w:t>Use of Wood Waste for Arbolite Production.</w:t>
      </w:r>
      <w:r w:rsidRPr="00D90CF2">
        <w:rPr>
          <w:rFonts w:ascii="Times New Roman" w:hAnsi="Times New Roman" w:cs="Times New Roman"/>
          <w:sz w:val="28"/>
          <w:szCs w:val="28"/>
          <w:lang w:val="en-US"/>
        </w:rPr>
        <w:t xml:space="preserve"> Moscow: LesnayaPromyshlennost, 1975. – 192 p.</w:t>
      </w:r>
    </w:p>
    <w:p w:rsidR="00E94CC3" w:rsidRPr="00D90CF2" w:rsidRDefault="00E94CC3" w:rsidP="00F06C97">
      <w:pPr>
        <w:spacing w:line="360" w:lineRule="auto"/>
        <w:ind w:left="284" w:hanging="284"/>
        <w:jc w:val="both"/>
        <w:rPr>
          <w:rFonts w:ascii="Times New Roman" w:hAnsi="Times New Roman" w:cs="Times New Roman"/>
          <w:sz w:val="28"/>
          <w:szCs w:val="28"/>
          <w:lang w:val="en-US"/>
        </w:rPr>
      </w:pPr>
      <w:r w:rsidRPr="00D90CF2">
        <w:rPr>
          <w:rFonts w:ascii="Times New Roman" w:hAnsi="Times New Roman" w:cs="Times New Roman"/>
          <w:sz w:val="28"/>
          <w:szCs w:val="28"/>
          <w:lang w:val="en-US"/>
        </w:rPr>
        <w:t xml:space="preserve">2. Baibolov S.M., Kuliyaev A.A., Magdalin A.A., Khrulev V.M. </w:t>
      </w:r>
      <w:r w:rsidRPr="00D90CF2">
        <w:rPr>
          <w:rFonts w:ascii="Times New Roman" w:hAnsi="Times New Roman" w:cs="Times New Roman"/>
          <w:i/>
          <w:iCs/>
          <w:sz w:val="28"/>
          <w:szCs w:val="28"/>
          <w:lang w:val="en-US"/>
        </w:rPr>
        <w:t>Composite Building Materials: Textbook for Construction and Technology Universities.</w:t>
      </w:r>
      <w:r w:rsidRPr="00D90CF2">
        <w:rPr>
          <w:rFonts w:ascii="Times New Roman" w:hAnsi="Times New Roman" w:cs="Times New Roman"/>
          <w:sz w:val="28"/>
          <w:szCs w:val="28"/>
          <w:lang w:val="en-US"/>
        </w:rPr>
        <w:t>Edited by V.M. Khrulev. Almaty: ZhetyZhargy, 1996. – 240 p.</w:t>
      </w:r>
    </w:p>
    <w:p w:rsidR="00E94CC3" w:rsidRPr="00D90CF2" w:rsidRDefault="00E94CC3" w:rsidP="00F06C97">
      <w:pPr>
        <w:spacing w:line="360" w:lineRule="auto"/>
        <w:ind w:left="284" w:hanging="284"/>
        <w:jc w:val="both"/>
        <w:rPr>
          <w:rFonts w:ascii="Times New Roman" w:hAnsi="Times New Roman" w:cs="Times New Roman"/>
          <w:sz w:val="28"/>
          <w:szCs w:val="28"/>
          <w:lang w:val="en-US"/>
        </w:rPr>
      </w:pPr>
      <w:r w:rsidRPr="00D90CF2">
        <w:rPr>
          <w:rFonts w:ascii="Times New Roman" w:hAnsi="Times New Roman" w:cs="Times New Roman"/>
          <w:sz w:val="28"/>
          <w:szCs w:val="28"/>
          <w:lang w:val="en-US"/>
        </w:rPr>
        <w:t xml:space="preserve">3. Zaburunov V.A., Barabula A.V., Mashkin N.A., Petyakshin I.A. </w:t>
      </w:r>
      <w:r w:rsidRPr="00D90CF2">
        <w:rPr>
          <w:rFonts w:ascii="Times New Roman" w:hAnsi="Times New Roman" w:cs="Times New Roman"/>
          <w:i/>
          <w:iCs/>
          <w:sz w:val="28"/>
          <w:szCs w:val="28"/>
          <w:lang w:val="en-US"/>
        </w:rPr>
        <w:t>Use of Wood Waste for the Production of Arbolite with Enhanced Weather Resistance.</w:t>
      </w:r>
      <w:r w:rsidRPr="00D90CF2">
        <w:rPr>
          <w:rFonts w:ascii="Times New Roman" w:hAnsi="Times New Roman" w:cs="Times New Roman"/>
          <w:sz w:val="28"/>
          <w:szCs w:val="28"/>
          <w:lang w:val="en-US"/>
        </w:rPr>
        <w:t xml:space="preserve"> Chisinau: MoldNIITÉI, 1991. – 35 p. (Review information. Ministry of National Economy of the SSR Moldova, MoldNIINTI).</w:t>
      </w:r>
    </w:p>
    <w:p w:rsidR="00E94CC3" w:rsidRPr="00D90CF2" w:rsidRDefault="00E94CC3" w:rsidP="00F06C97">
      <w:pPr>
        <w:spacing w:line="360" w:lineRule="auto"/>
        <w:ind w:left="284" w:hanging="284"/>
        <w:jc w:val="both"/>
        <w:rPr>
          <w:rFonts w:ascii="Times New Roman" w:hAnsi="Times New Roman" w:cs="Times New Roman"/>
          <w:sz w:val="28"/>
          <w:szCs w:val="28"/>
          <w:lang w:val="en-US"/>
        </w:rPr>
      </w:pPr>
      <w:r>
        <w:rPr>
          <w:rFonts w:ascii="Times New Roman" w:hAnsi="Times New Roman" w:cs="Times New Roman"/>
          <w:sz w:val="28"/>
          <w:szCs w:val="28"/>
          <w:lang w:val="en-US"/>
        </w:rPr>
        <w:t>4.</w:t>
      </w:r>
      <w:r w:rsidRPr="00D90CF2">
        <w:rPr>
          <w:rFonts w:ascii="Times New Roman" w:hAnsi="Times New Roman" w:cs="Times New Roman"/>
          <w:sz w:val="28"/>
          <w:szCs w:val="28"/>
          <w:lang w:val="en-US"/>
        </w:rPr>
        <w:t xml:space="preserve">Khrulev V.M. </w:t>
      </w:r>
      <w:r w:rsidRPr="00D90CF2">
        <w:rPr>
          <w:rFonts w:ascii="Times New Roman" w:hAnsi="Times New Roman" w:cs="Times New Roman"/>
          <w:i/>
          <w:iCs/>
          <w:sz w:val="28"/>
          <w:szCs w:val="28"/>
          <w:lang w:val="en-US"/>
        </w:rPr>
        <w:t>Technology and Properties of Composite Materials for Construction.</w:t>
      </w:r>
      <w:r w:rsidRPr="00D90CF2">
        <w:rPr>
          <w:rFonts w:ascii="Times New Roman" w:hAnsi="Times New Roman" w:cs="Times New Roman"/>
          <w:sz w:val="28"/>
          <w:szCs w:val="28"/>
          <w:lang w:val="en-US"/>
        </w:rPr>
        <w:t>Textbook. Ufa: TAU, 2001. – 168 p.</w:t>
      </w:r>
    </w:p>
    <w:p w:rsidR="00E94CC3" w:rsidRPr="00F12751" w:rsidRDefault="00E94CC3" w:rsidP="00F06C97">
      <w:pPr>
        <w:spacing w:line="360" w:lineRule="auto"/>
        <w:ind w:left="284" w:hanging="284"/>
        <w:jc w:val="both"/>
        <w:rPr>
          <w:rFonts w:ascii="Times New Roman" w:hAnsi="Times New Roman" w:cs="Times New Roman"/>
          <w:sz w:val="28"/>
          <w:szCs w:val="28"/>
          <w:lang w:val="en-US"/>
        </w:rPr>
      </w:pPr>
      <w:r w:rsidRPr="00D90CF2">
        <w:rPr>
          <w:rFonts w:ascii="Times New Roman" w:hAnsi="Times New Roman" w:cs="Times New Roman"/>
          <w:sz w:val="28"/>
          <w:szCs w:val="28"/>
          <w:lang w:val="en-US"/>
        </w:rPr>
        <w:t xml:space="preserve">5. Ayaksnis F.F. </w:t>
      </w:r>
      <w:r w:rsidRPr="00D90CF2">
        <w:rPr>
          <w:rFonts w:ascii="Times New Roman" w:hAnsi="Times New Roman" w:cs="Times New Roman"/>
          <w:i/>
          <w:iCs/>
          <w:sz w:val="28"/>
          <w:szCs w:val="28"/>
          <w:lang w:val="en-US"/>
        </w:rPr>
        <w:t>Rapid-Setting Sawdust Concrete for Low-Rise Construction.</w:t>
      </w:r>
      <w:r w:rsidRPr="00D90CF2">
        <w:rPr>
          <w:rFonts w:ascii="Times New Roman" w:hAnsi="Times New Roman" w:cs="Times New Roman"/>
          <w:sz w:val="28"/>
          <w:szCs w:val="28"/>
          <w:lang w:val="en-US"/>
        </w:rPr>
        <w:t>Riga, 1986. – 62 p.</w:t>
      </w:r>
      <w:bookmarkStart w:id="0" w:name="_GoBack"/>
    </w:p>
    <w:bookmarkEnd w:id="0"/>
    <w:p w:rsidR="00E94CC3" w:rsidRPr="00F12751" w:rsidRDefault="00E94CC3" w:rsidP="00F06C97">
      <w:pPr>
        <w:spacing w:line="360" w:lineRule="auto"/>
        <w:ind w:left="284" w:hanging="284"/>
        <w:jc w:val="both"/>
        <w:rPr>
          <w:rFonts w:ascii="Times New Roman" w:hAnsi="Times New Roman" w:cs="Times New Roman"/>
          <w:sz w:val="28"/>
          <w:szCs w:val="28"/>
          <w:lang w:val="en-US"/>
        </w:rPr>
      </w:pPr>
    </w:p>
    <w:p w:rsidR="00E94CC3" w:rsidRPr="00B70B4E" w:rsidRDefault="00E94CC3" w:rsidP="00F12751">
      <w:pPr>
        <w:spacing w:line="360" w:lineRule="auto"/>
        <w:jc w:val="both"/>
        <w:rPr>
          <w:rFonts w:ascii="Times New Roman" w:hAnsi="Times New Roman" w:cs="Times New Roman"/>
          <w:sz w:val="28"/>
          <w:szCs w:val="28"/>
          <w:lang w:val="en-US"/>
        </w:rPr>
      </w:pPr>
    </w:p>
    <w:p w:rsidR="00E94CC3" w:rsidRDefault="00E94CC3" w:rsidP="00F06C97">
      <w:pPr>
        <w:tabs>
          <w:tab w:val="left" w:pos="3672"/>
        </w:tabs>
        <w:spacing w:line="360" w:lineRule="auto"/>
        <w:ind w:left="426" w:hanging="426"/>
        <w:rPr>
          <w:rFonts w:ascii="Times New Roman" w:hAnsi="Times New Roman" w:cs="Times New Roman"/>
          <w:b/>
          <w:sz w:val="28"/>
          <w:szCs w:val="28"/>
          <w:lang w:val="en-US"/>
        </w:rPr>
      </w:pPr>
    </w:p>
    <w:p w:rsidR="00E94CC3" w:rsidRPr="00F12751" w:rsidRDefault="00E94CC3" w:rsidP="00A25C52">
      <w:pPr>
        <w:spacing w:after="160" w:line="259" w:lineRule="auto"/>
        <w:jc w:val="both"/>
        <w:rPr>
          <w:rFonts w:ascii="Times New Roman" w:hAnsi="Times New Roman" w:cs="Times New Roman"/>
          <w:color w:val="1F1F1F"/>
          <w:sz w:val="24"/>
          <w:szCs w:val="24"/>
          <w:lang w:val="en-US" w:eastAsia="en-US"/>
        </w:rPr>
      </w:pPr>
    </w:p>
    <w:p w:rsidR="00E94CC3" w:rsidRPr="00A25C52" w:rsidRDefault="00E94CC3" w:rsidP="00A25C52">
      <w:pPr>
        <w:spacing w:after="160" w:line="259" w:lineRule="auto"/>
        <w:jc w:val="both"/>
        <w:rPr>
          <w:rFonts w:ascii="Times New Roman" w:hAnsi="Times New Roman" w:cs="Times New Roman"/>
          <w:color w:val="1F1F1F"/>
          <w:sz w:val="24"/>
          <w:szCs w:val="24"/>
          <w:lang w:val="en-US" w:eastAsia="en-US"/>
        </w:rPr>
      </w:pPr>
    </w:p>
    <w:p w:rsidR="00E94CC3" w:rsidRDefault="00E94CC3" w:rsidP="00F06C97">
      <w:pPr>
        <w:spacing w:line="360" w:lineRule="auto"/>
        <w:ind w:left="426" w:hanging="426"/>
        <w:jc w:val="center"/>
        <w:rPr>
          <w:rFonts w:ascii="Times New Roman" w:hAnsi="Times New Roman" w:cs="Times New Roman"/>
          <w:b/>
          <w:sz w:val="28"/>
          <w:szCs w:val="28"/>
          <w:lang w:val="en-US"/>
        </w:rPr>
      </w:pPr>
    </w:p>
    <w:p w:rsidR="00E94CC3" w:rsidRPr="00A25C52" w:rsidRDefault="00E94CC3" w:rsidP="00F06C97">
      <w:pPr>
        <w:spacing w:line="360" w:lineRule="auto"/>
        <w:ind w:left="426" w:hanging="426"/>
        <w:jc w:val="both"/>
        <w:rPr>
          <w:rFonts w:ascii="Times New Roman" w:hAnsi="Times New Roman" w:cs="Times New Roman"/>
          <w:sz w:val="28"/>
          <w:szCs w:val="28"/>
          <w:lang w:val="en-US"/>
        </w:rPr>
      </w:pPr>
    </w:p>
    <w:p w:rsidR="00E94CC3" w:rsidRPr="00FF4104" w:rsidRDefault="00E94CC3" w:rsidP="00F06C97">
      <w:pPr>
        <w:spacing w:line="360" w:lineRule="auto"/>
        <w:ind w:left="426" w:hanging="426"/>
        <w:jc w:val="both"/>
        <w:rPr>
          <w:rFonts w:ascii="Times New Roman" w:hAnsi="Times New Roman" w:cs="Times New Roman"/>
          <w:sz w:val="28"/>
          <w:szCs w:val="28"/>
          <w:lang w:val="kk-KZ"/>
        </w:rPr>
      </w:pPr>
    </w:p>
    <w:sectPr w:rsidR="00E94CC3" w:rsidRPr="00FF4104" w:rsidSect="00D90CF2">
      <w:type w:val="continuous"/>
      <w:pgSz w:w="11907" w:h="16839" w:code="9"/>
      <w:pgMar w:top="1134" w:right="1134" w:bottom="1134" w:left="1134" w:header="0" w:footer="0" w:gutter="0"/>
      <w:cols w:space="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l?r ??Ѓfc"/>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hybridMultilevel"/>
    <w:tmpl w:val="625558EC"/>
    <w:lvl w:ilvl="0" w:tplc="FFFFFFFF">
      <w:start w:val="1"/>
      <w:numFmt w:val="decimal"/>
      <w:lvlText w:val="%1."/>
      <w:lvlJc w:val="left"/>
      <w:rPr>
        <w:rFonts w:cs="Times New Roman"/>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nsid w:val="00000003"/>
    <w:multiLevelType w:val="hybridMultilevel"/>
    <w:tmpl w:val="238E1F28"/>
    <w:lvl w:ilvl="0" w:tplc="FFFFFFFF">
      <w:start w:val="10"/>
      <w:numFmt w:val="decimal"/>
      <w:lvlText w:val="%1."/>
      <w:lvlJc w:val="left"/>
      <w:rPr>
        <w:rFonts w:cs="Times New Roman"/>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nsid w:val="00000004"/>
    <w:multiLevelType w:val="hybridMultilevel"/>
    <w:tmpl w:val="46E87CCC"/>
    <w:lvl w:ilvl="0" w:tplc="FFFFFFFF">
      <w:start w:val="29"/>
      <w:numFmt w:val="decimal"/>
      <w:lvlText w:val="%1."/>
      <w:lvlJc w:val="left"/>
      <w:rPr>
        <w:rFonts w:cs="Times New Roman"/>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nsid w:val="00000005"/>
    <w:multiLevelType w:val="hybridMultilevel"/>
    <w:tmpl w:val="3D1B58BA"/>
    <w:lvl w:ilvl="0" w:tplc="FFFFFFFF">
      <w:start w:val="47"/>
      <w:numFmt w:val="decimal"/>
      <w:lvlText w:val="%1."/>
      <w:lvlJc w:val="left"/>
      <w:rPr>
        <w:rFonts w:cs="Times New Roman"/>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nsid w:val="00000006"/>
    <w:multiLevelType w:val="hybridMultilevel"/>
    <w:tmpl w:val="507ED7AA"/>
    <w:lvl w:ilvl="0" w:tplc="FFFFFFFF">
      <w:start w:val="65"/>
      <w:numFmt w:val="decimal"/>
      <w:lvlText w:val="%1."/>
      <w:lvlJc w:val="left"/>
      <w:rPr>
        <w:rFonts w:cs="Times New Roman"/>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
    <w:nsid w:val="60154911"/>
    <w:multiLevelType w:val="multilevel"/>
    <w:tmpl w:val="C83AF19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0"/>
  </w:num>
  <w:num w:numId="2">
    <w:abstractNumId w:val="1"/>
  </w:num>
  <w:num w:numId="3">
    <w:abstractNumId w:val="2"/>
  </w:num>
  <w:num w:numId="4">
    <w:abstractNumId w:val="3"/>
  </w:num>
  <w:num w:numId="5">
    <w:abstractNumId w:val="4"/>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D6536"/>
    <w:rsid w:val="00045EEB"/>
    <w:rsid w:val="000C3D95"/>
    <w:rsid w:val="000E7FDD"/>
    <w:rsid w:val="001D6536"/>
    <w:rsid w:val="001F0273"/>
    <w:rsid w:val="001F634E"/>
    <w:rsid w:val="00333CC0"/>
    <w:rsid w:val="003769F9"/>
    <w:rsid w:val="003B1C01"/>
    <w:rsid w:val="00422C90"/>
    <w:rsid w:val="004934AD"/>
    <w:rsid w:val="004D359D"/>
    <w:rsid w:val="004E170F"/>
    <w:rsid w:val="004F5A30"/>
    <w:rsid w:val="00505DA4"/>
    <w:rsid w:val="006E50CF"/>
    <w:rsid w:val="00704DF2"/>
    <w:rsid w:val="00731C06"/>
    <w:rsid w:val="007B1AD3"/>
    <w:rsid w:val="00860CD5"/>
    <w:rsid w:val="008F51AC"/>
    <w:rsid w:val="009619EB"/>
    <w:rsid w:val="00983206"/>
    <w:rsid w:val="00A25C52"/>
    <w:rsid w:val="00A60AC2"/>
    <w:rsid w:val="00B70B4E"/>
    <w:rsid w:val="00B94108"/>
    <w:rsid w:val="00BA5B7D"/>
    <w:rsid w:val="00BC5F18"/>
    <w:rsid w:val="00BE5E6A"/>
    <w:rsid w:val="00C409FC"/>
    <w:rsid w:val="00CD3671"/>
    <w:rsid w:val="00D066F2"/>
    <w:rsid w:val="00D20A66"/>
    <w:rsid w:val="00D90CF2"/>
    <w:rsid w:val="00E94CC3"/>
    <w:rsid w:val="00EC49C2"/>
    <w:rsid w:val="00EE26A1"/>
    <w:rsid w:val="00EF4897"/>
    <w:rsid w:val="00F06C97"/>
    <w:rsid w:val="00F12751"/>
    <w:rsid w:val="00FD693E"/>
    <w:rsid w:val="00FF4104"/>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place"/>
  <w:smartTagType w:namespaceuri="urn:schemas-microsoft-com:office:smarttags" w:name="country-region"/>
  <w:smartTagType w:namespaceuri="urn:schemas-microsoft-com:office:smarttags" w:name="City"/>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6536"/>
    <w:rPr>
      <w:rFonts w:cs="Arial"/>
      <w:sz w:val="20"/>
      <w:szCs w:val="20"/>
      <w:lang w:val="ru-RU"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8F51AC"/>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8F51AC"/>
    <w:rPr>
      <w:rFonts w:ascii="Tahoma" w:eastAsia="Times New Roman" w:hAnsi="Tahoma" w:cs="Tahoma"/>
      <w:sz w:val="16"/>
      <w:szCs w:val="16"/>
      <w:lang w:eastAsia="ru-RU"/>
    </w:rPr>
  </w:style>
  <w:style w:type="character" w:customStyle="1" w:styleId="jlqj4b">
    <w:name w:val="jlqj4b"/>
    <w:basedOn w:val="DefaultParagraphFont"/>
    <w:uiPriority w:val="99"/>
    <w:rsid w:val="00FF4104"/>
    <w:rPr>
      <w:rFonts w:cs="Times New Roman"/>
    </w:rPr>
  </w:style>
  <w:style w:type="table" w:styleId="TableGrid">
    <w:name w:val="Table Grid"/>
    <w:basedOn w:val="TableNormal"/>
    <w:uiPriority w:val="99"/>
    <w:rsid w:val="00333CC0"/>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9619EB"/>
    <w:pPr>
      <w:ind w:left="720"/>
      <w:contextualSpacing/>
    </w:pPr>
  </w:style>
  <w:style w:type="paragraph" w:styleId="NormalWeb">
    <w:name w:val="Normal (Web)"/>
    <w:basedOn w:val="Normal"/>
    <w:uiPriority w:val="99"/>
    <w:rsid w:val="000C3D95"/>
    <w:pPr>
      <w:spacing w:before="100" w:beforeAutospacing="1" w:after="100" w:afterAutospacing="1"/>
    </w:pPr>
    <w:rPr>
      <w:rFonts w:ascii="Times New Roman" w:eastAsia="Times New Roman" w:hAnsi="Times New Roman" w:cs="Times New Roman"/>
      <w:sz w:val="24"/>
      <w:szCs w:val="24"/>
    </w:rPr>
  </w:style>
  <w:style w:type="character" w:styleId="Strong">
    <w:name w:val="Strong"/>
    <w:basedOn w:val="DefaultParagraphFont"/>
    <w:uiPriority w:val="99"/>
    <w:qFormat/>
    <w:rsid w:val="000C3D95"/>
    <w:rPr>
      <w:rFonts w:cs="Times New Roman"/>
      <w:b/>
      <w:bCs/>
    </w:rPr>
  </w:style>
  <w:style w:type="character" w:styleId="Hyperlink">
    <w:name w:val="Hyperlink"/>
    <w:basedOn w:val="DefaultParagraphFont"/>
    <w:uiPriority w:val="99"/>
    <w:rsid w:val="00A25C52"/>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1888182947">
      <w:marLeft w:val="0"/>
      <w:marRight w:val="0"/>
      <w:marTop w:val="0"/>
      <w:marBottom w:val="0"/>
      <w:divBdr>
        <w:top w:val="none" w:sz="0" w:space="0" w:color="auto"/>
        <w:left w:val="none" w:sz="0" w:space="0" w:color="auto"/>
        <w:bottom w:val="none" w:sz="0" w:space="0" w:color="auto"/>
        <w:right w:val="none" w:sz="0" w:space="0" w:color="auto"/>
      </w:divBdr>
    </w:div>
    <w:div w:id="1888182949">
      <w:marLeft w:val="0"/>
      <w:marRight w:val="0"/>
      <w:marTop w:val="0"/>
      <w:marBottom w:val="0"/>
      <w:divBdr>
        <w:top w:val="none" w:sz="0" w:space="0" w:color="auto"/>
        <w:left w:val="none" w:sz="0" w:space="0" w:color="auto"/>
        <w:bottom w:val="none" w:sz="0" w:space="0" w:color="auto"/>
        <w:right w:val="none" w:sz="0" w:space="0" w:color="auto"/>
      </w:divBdr>
      <w:divsChild>
        <w:div w:id="1888182953">
          <w:marLeft w:val="0"/>
          <w:marRight w:val="0"/>
          <w:marTop w:val="0"/>
          <w:marBottom w:val="0"/>
          <w:divBdr>
            <w:top w:val="none" w:sz="0" w:space="0" w:color="auto"/>
            <w:left w:val="none" w:sz="0" w:space="0" w:color="auto"/>
            <w:bottom w:val="none" w:sz="0" w:space="0" w:color="auto"/>
            <w:right w:val="none" w:sz="0" w:space="0" w:color="auto"/>
          </w:divBdr>
          <w:divsChild>
            <w:div w:id="1888182954">
              <w:marLeft w:val="0"/>
              <w:marRight w:val="0"/>
              <w:marTop w:val="0"/>
              <w:marBottom w:val="0"/>
              <w:divBdr>
                <w:top w:val="none" w:sz="0" w:space="0" w:color="auto"/>
                <w:left w:val="none" w:sz="0" w:space="0" w:color="auto"/>
                <w:bottom w:val="none" w:sz="0" w:space="0" w:color="auto"/>
                <w:right w:val="none" w:sz="0" w:space="0" w:color="auto"/>
              </w:divBdr>
              <w:divsChild>
                <w:div w:id="1888182956">
                  <w:marLeft w:val="0"/>
                  <w:marRight w:val="0"/>
                  <w:marTop w:val="0"/>
                  <w:marBottom w:val="0"/>
                  <w:divBdr>
                    <w:top w:val="none" w:sz="0" w:space="0" w:color="auto"/>
                    <w:left w:val="none" w:sz="0" w:space="0" w:color="auto"/>
                    <w:bottom w:val="none" w:sz="0" w:space="0" w:color="auto"/>
                    <w:right w:val="none" w:sz="0" w:space="0" w:color="auto"/>
                  </w:divBdr>
                  <w:divsChild>
                    <w:div w:id="1888182945">
                      <w:marLeft w:val="0"/>
                      <w:marRight w:val="0"/>
                      <w:marTop w:val="0"/>
                      <w:marBottom w:val="0"/>
                      <w:divBdr>
                        <w:top w:val="none" w:sz="0" w:space="0" w:color="auto"/>
                        <w:left w:val="none" w:sz="0" w:space="0" w:color="auto"/>
                        <w:bottom w:val="none" w:sz="0" w:space="0" w:color="auto"/>
                        <w:right w:val="none" w:sz="0" w:space="0" w:color="auto"/>
                      </w:divBdr>
                      <w:divsChild>
                        <w:div w:id="1888182948">
                          <w:marLeft w:val="0"/>
                          <w:marRight w:val="0"/>
                          <w:marTop w:val="0"/>
                          <w:marBottom w:val="0"/>
                          <w:divBdr>
                            <w:top w:val="none" w:sz="0" w:space="0" w:color="auto"/>
                            <w:left w:val="none" w:sz="0" w:space="0" w:color="auto"/>
                            <w:bottom w:val="none" w:sz="0" w:space="0" w:color="auto"/>
                            <w:right w:val="none" w:sz="0" w:space="0" w:color="auto"/>
                          </w:divBdr>
                          <w:divsChild>
                            <w:div w:id="1888182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8182950">
      <w:marLeft w:val="0"/>
      <w:marRight w:val="0"/>
      <w:marTop w:val="0"/>
      <w:marBottom w:val="0"/>
      <w:divBdr>
        <w:top w:val="none" w:sz="0" w:space="0" w:color="auto"/>
        <w:left w:val="none" w:sz="0" w:space="0" w:color="auto"/>
        <w:bottom w:val="none" w:sz="0" w:space="0" w:color="auto"/>
        <w:right w:val="none" w:sz="0" w:space="0" w:color="auto"/>
      </w:divBdr>
    </w:div>
    <w:div w:id="1888182952">
      <w:marLeft w:val="0"/>
      <w:marRight w:val="0"/>
      <w:marTop w:val="0"/>
      <w:marBottom w:val="0"/>
      <w:divBdr>
        <w:top w:val="none" w:sz="0" w:space="0" w:color="auto"/>
        <w:left w:val="none" w:sz="0" w:space="0" w:color="auto"/>
        <w:bottom w:val="none" w:sz="0" w:space="0" w:color="auto"/>
        <w:right w:val="none" w:sz="0" w:space="0" w:color="auto"/>
      </w:divBdr>
      <w:divsChild>
        <w:div w:id="1888182946">
          <w:marLeft w:val="60"/>
          <w:marRight w:val="60"/>
          <w:marTop w:val="0"/>
          <w:marBottom w:val="0"/>
          <w:divBdr>
            <w:top w:val="single" w:sz="6" w:space="3" w:color="4BB66A"/>
            <w:left w:val="single" w:sz="6" w:space="3" w:color="4BB66A"/>
            <w:bottom w:val="single" w:sz="6" w:space="3" w:color="4BB66A"/>
            <w:right w:val="single" w:sz="6" w:space="3" w:color="4BB66A"/>
          </w:divBdr>
        </w:div>
      </w:divsChild>
    </w:div>
    <w:div w:id="188818295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TotalTime>
  <Pages>6</Pages>
  <Words>6557</Words>
  <Characters>3739</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Арман</dc:creator>
  <cp:keywords/>
  <dc:description/>
  <cp:lastModifiedBy>Admin</cp:lastModifiedBy>
  <cp:revision>4</cp:revision>
  <dcterms:created xsi:type="dcterms:W3CDTF">2025-12-06T04:46:00Z</dcterms:created>
  <dcterms:modified xsi:type="dcterms:W3CDTF">2025-12-30T11:04:00Z</dcterms:modified>
</cp:coreProperties>
</file>